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BD07E7" w14:textId="4D832472" w:rsidR="005E3EEB" w:rsidRPr="00633D6C" w:rsidRDefault="00133DC2" w:rsidP="0017451F">
      <w:pPr>
        <w:pStyle w:val="DocTitle"/>
        <w:ind w:left="-2592" w:right="-1152"/>
        <w:jc w:val="center"/>
        <w:rPr>
          <w:rFonts w:ascii="Calibri" w:hAnsi="Calibri" w:cs="Calibri"/>
          <w:i w:val="0"/>
          <w:iCs/>
          <w:color w:val="0000CC"/>
          <w:sz w:val="24"/>
          <w:szCs w:val="24"/>
        </w:rPr>
      </w:pP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>
        <w:rPr>
          <w:rFonts w:ascii="Calibri" w:hAnsi="Calibri" w:cs="Calibri"/>
          <w:i w:val="0"/>
          <w:noProof/>
          <w:color w:val="0000CC"/>
          <w:sz w:val="24"/>
          <w:szCs w:val="24"/>
        </w:rPr>
        <w:tab/>
      </w:r>
      <w:r w:rsidR="00A74F3D">
        <w:rPr>
          <w:rFonts w:ascii="Calibri" w:hAnsi="Calibri" w:cs="Calibri"/>
          <w:i w:val="0"/>
          <w:noProof/>
          <w:color w:val="0000CC"/>
          <w:sz w:val="24"/>
          <w:szCs w:val="24"/>
          <w:lang w:val="en-IN" w:eastAsia="en-IN"/>
        </w:rPr>
        <w:drawing>
          <wp:inline distT="0" distB="0" distL="0" distR="0" wp14:anchorId="1932689F" wp14:editId="12B89043">
            <wp:extent cx="1019175" cy="333375"/>
            <wp:effectExtent l="0" t="0" r="0" b="0"/>
            <wp:docPr id="1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3336" w:type="dxa"/>
        <w:tblBorders>
          <w:top w:val="single" w:sz="12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50"/>
        <w:gridCol w:w="6570"/>
        <w:gridCol w:w="4516"/>
      </w:tblGrid>
      <w:tr w:rsidR="005E3EEB" w:rsidRPr="00633D6C" w14:paraId="128905E8" w14:textId="77777777" w:rsidTr="0017451F">
        <w:trPr>
          <w:trHeight w:val="256"/>
        </w:trPr>
        <w:tc>
          <w:tcPr>
            <w:tcW w:w="13336" w:type="dxa"/>
            <w:gridSpan w:val="3"/>
            <w:tcBorders>
              <w:top w:val="single" w:sz="12" w:space="0" w:color="auto"/>
            </w:tcBorders>
          </w:tcPr>
          <w:p w14:paraId="3DE4F5A5" w14:textId="566FFC83" w:rsidR="005E3EEB" w:rsidRPr="005F5684" w:rsidRDefault="005E3EEB" w:rsidP="004B49D6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30"/>
                <w:szCs w:val="30"/>
              </w:rPr>
            </w:pP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IBM Emptoris Strategic Supply Management </w:t>
            </w:r>
            <w:r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Platform </w:t>
            </w:r>
            <w:r w:rsidR="00D91679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- </w:t>
            </w:r>
            <w:r w:rsidR="002771D0">
              <w:rPr>
                <w:rFonts w:ascii="Calibri" w:hAnsi="Calibri" w:cs="Calibri"/>
                <w:b/>
                <w:noProof/>
                <w:sz w:val="30"/>
                <w:szCs w:val="30"/>
              </w:rPr>
              <w:t>10.1.1.24</w:t>
            </w:r>
            <w:r w:rsidRPr="005F5684">
              <w:rPr>
                <w:rFonts w:ascii="Calibri" w:hAnsi="Calibri" w:cs="Calibri"/>
                <w:b/>
                <w:noProof/>
                <w:sz w:val="30"/>
                <w:szCs w:val="30"/>
              </w:rPr>
              <w:t xml:space="preserve"> Release Card</w:t>
            </w:r>
          </w:p>
          <w:p w14:paraId="13B094C9" w14:textId="77777777" w:rsidR="005E3EEB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  <w:p w14:paraId="78488E53" w14:textId="77777777" w:rsidR="005E3EEB" w:rsidRPr="00633D6C" w:rsidRDefault="005E3EEB" w:rsidP="0017451F">
            <w:pPr>
              <w:ind w:right="1584"/>
              <w:jc w:val="center"/>
              <w:rPr>
                <w:rFonts w:ascii="Calibri" w:hAnsi="Calibri" w:cs="Calibri"/>
                <w:b/>
                <w:noProof/>
                <w:sz w:val="24"/>
                <w:szCs w:val="24"/>
              </w:rPr>
            </w:pPr>
          </w:p>
        </w:tc>
      </w:tr>
      <w:tr w:rsidR="005E3EEB" w:rsidRPr="00633D6C" w14:paraId="4028600E" w14:textId="77777777" w:rsidTr="00C32E8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634"/>
        </w:trPr>
        <w:tc>
          <w:tcPr>
            <w:tcW w:w="2250" w:type="dxa"/>
          </w:tcPr>
          <w:p w14:paraId="2DB4639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Product(s):</w:t>
            </w:r>
          </w:p>
          <w:p w14:paraId="7C5D1DD9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1B4EFC0E" w14:textId="77777777" w:rsidR="005E3EEB" w:rsidRPr="003D2249" w:rsidRDefault="005E3EEB" w:rsidP="0017451F">
            <w:pPr>
              <w:rPr>
                <w:rFonts w:ascii="Calibri" w:hAnsi="Calibri" w:cs="Calibri"/>
                <w:color w:val="0000CC"/>
                <w:sz w:val="22"/>
                <w:szCs w:val="22"/>
              </w:rPr>
            </w:pPr>
            <w:r w:rsidRPr="00B16F72">
              <w:rPr>
                <w:rFonts w:ascii="Calibri" w:hAnsi="Calibri" w:cs="Calibri"/>
                <w:color w:val="0000CC"/>
                <w:sz w:val="22"/>
                <w:szCs w:val="22"/>
              </w:rPr>
              <w:t>IBM Emptoris Strategic Supply Management</w:t>
            </w:r>
            <w:r>
              <w:rPr>
                <w:rFonts w:ascii="Calibri" w:hAnsi="Calibri" w:cs="Calibri"/>
                <w:color w:val="0000CC"/>
                <w:sz w:val="22"/>
                <w:szCs w:val="22"/>
              </w:rPr>
              <w:t xml:space="preserve"> Platform</w:t>
            </w:r>
          </w:p>
        </w:tc>
      </w:tr>
      <w:tr w:rsidR="005E3EEB" w:rsidRPr="00633D6C" w14:paraId="2DBAAD29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7F9D10D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Release Version:</w:t>
            </w:r>
          </w:p>
          <w:p w14:paraId="75D5C300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24A6CAB1" w14:textId="62B96F7B" w:rsidR="005E3EEB" w:rsidRPr="00B16F72" w:rsidRDefault="002771D0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10.1.1.24</w:t>
            </w:r>
          </w:p>
        </w:tc>
      </w:tr>
      <w:tr w:rsidR="005E3EEB" w:rsidRPr="00633D6C" w14:paraId="10809AA5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</w:trPr>
        <w:tc>
          <w:tcPr>
            <w:tcW w:w="2250" w:type="dxa"/>
          </w:tcPr>
          <w:p w14:paraId="6D91D4F5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Author:</w:t>
            </w:r>
          </w:p>
          <w:p w14:paraId="0EA3BDC2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3AB36D9B" w14:textId="311628B1" w:rsidR="005E3EEB" w:rsidRPr="00B16F72" w:rsidRDefault="00AC0427" w:rsidP="0017451F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>DB</w:t>
            </w:r>
          </w:p>
        </w:tc>
      </w:tr>
      <w:tr w:rsidR="005E3EEB" w:rsidRPr="00633D6C" w14:paraId="419C2894" w14:textId="77777777" w:rsidTr="00B16F7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A0" w:firstRow="1" w:lastRow="0" w:firstColumn="1" w:lastColumn="0" w:noHBand="0" w:noVBand="0"/>
        </w:tblPrEx>
        <w:trPr>
          <w:gridAfter w:val="1"/>
          <w:wAfter w:w="4516" w:type="dxa"/>
          <w:trHeight w:val="70"/>
        </w:trPr>
        <w:tc>
          <w:tcPr>
            <w:tcW w:w="2250" w:type="dxa"/>
          </w:tcPr>
          <w:p w14:paraId="30B95C6C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b/>
                <w:color w:val="000000"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color w:val="000000"/>
                <w:sz w:val="24"/>
                <w:szCs w:val="24"/>
              </w:rPr>
              <w:t>Quality Certified by:</w:t>
            </w:r>
          </w:p>
          <w:p w14:paraId="521B62B7" w14:textId="77777777" w:rsidR="005E3EEB" w:rsidRPr="00B16F72" w:rsidRDefault="005E3EEB" w:rsidP="00B16F72">
            <w:pPr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6570" w:type="dxa"/>
          </w:tcPr>
          <w:p w14:paraId="7FA6EB41" w14:textId="77777777" w:rsidR="005E3EEB" w:rsidRPr="00B16F72" w:rsidRDefault="007B3253" w:rsidP="001C5C3A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color w:val="0000CC"/>
                <w:sz w:val="24"/>
                <w:szCs w:val="24"/>
              </w:rPr>
              <w:t>SuiteQA</w:t>
            </w:r>
          </w:p>
        </w:tc>
      </w:tr>
    </w:tbl>
    <w:p w14:paraId="1ECD9B4C" w14:textId="77777777" w:rsidR="005E3EEB" w:rsidRPr="00633D6C" w:rsidRDefault="005E3EEB" w:rsidP="0017451F">
      <w:pPr>
        <w:ind w:right="1584"/>
        <w:rPr>
          <w:rFonts w:ascii="Calibri" w:hAnsi="Calibri" w:cs="Calibri"/>
          <w:sz w:val="24"/>
          <w:szCs w:val="24"/>
        </w:rPr>
      </w:pPr>
    </w:p>
    <w:p w14:paraId="50CB6ACE" w14:textId="77777777" w:rsidR="005E3EEB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</w:p>
    <w:p w14:paraId="26CD4385" w14:textId="77777777" w:rsidR="005E3EEB" w:rsidRPr="007C55C7" w:rsidRDefault="005E3EEB" w:rsidP="0017451F">
      <w:pPr>
        <w:ind w:right="1584"/>
        <w:rPr>
          <w:rFonts w:ascii="Calibri" w:hAnsi="Calibri" w:cs="Calibri"/>
          <w:b/>
          <w:sz w:val="28"/>
          <w:szCs w:val="28"/>
        </w:rPr>
      </w:pPr>
      <w:r w:rsidRPr="007C55C7">
        <w:rPr>
          <w:rFonts w:ascii="Calibri" w:hAnsi="Calibri" w:cs="Calibri"/>
          <w:b/>
          <w:sz w:val="28"/>
          <w:szCs w:val="28"/>
        </w:rPr>
        <w:t>Build and Documents information:</w:t>
      </w:r>
    </w:p>
    <w:tbl>
      <w:tblPr>
        <w:tblW w:w="11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445"/>
        <w:gridCol w:w="3725"/>
        <w:gridCol w:w="5350"/>
      </w:tblGrid>
      <w:tr w:rsidR="005E3EEB" w:rsidRPr="00633D6C" w14:paraId="52C0167A" w14:textId="77777777" w:rsidTr="00B52EAC">
        <w:trPr>
          <w:trHeight w:val="348"/>
        </w:trPr>
        <w:tc>
          <w:tcPr>
            <w:tcW w:w="2543" w:type="dxa"/>
          </w:tcPr>
          <w:p w14:paraId="2BA40143" w14:textId="77777777" w:rsidR="005E3EEB" w:rsidRPr="00B16F72" w:rsidRDefault="005E3EE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Build Version:</w:t>
            </w:r>
          </w:p>
        </w:tc>
        <w:tc>
          <w:tcPr>
            <w:tcW w:w="3374" w:type="dxa"/>
          </w:tcPr>
          <w:p w14:paraId="4DD126CE" w14:textId="791E3D4D" w:rsidR="007B3202" w:rsidRPr="00436925" w:rsidRDefault="00D91679" w:rsidP="009E458B">
            <w:pPr>
              <w:rPr>
                <w:rFonts w:ascii="Calibri" w:hAnsi="Calibri" w:cs="Calibri"/>
                <w:bCs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10.1.1.24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367</w:t>
            </w:r>
            <w:r w:rsidR="00C334D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</w:tc>
        <w:tc>
          <w:tcPr>
            <w:tcW w:w="5603" w:type="dxa"/>
          </w:tcPr>
          <w:p w14:paraId="6BCA80E7" w14:textId="77777777" w:rsidR="005E3EEB" w:rsidRPr="00B16F72" w:rsidRDefault="005E3EEB" w:rsidP="0024518E">
            <w:pPr>
              <w:rPr>
                <w:rFonts w:ascii="Calibri" w:hAnsi="Calibri" w:cs="Calibri"/>
                <w:bCs/>
                <w:color w:val="FF0000"/>
                <w:sz w:val="24"/>
                <w:szCs w:val="24"/>
              </w:rPr>
            </w:pPr>
          </w:p>
        </w:tc>
      </w:tr>
      <w:tr w:rsidR="005E3EEB" w:rsidRPr="00633D6C" w14:paraId="39E8581B" w14:textId="77777777" w:rsidTr="00B52EAC">
        <w:trPr>
          <w:trHeight w:val="92"/>
        </w:trPr>
        <w:tc>
          <w:tcPr>
            <w:tcW w:w="2543" w:type="dxa"/>
          </w:tcPr>
          <w:p w14:paraId="2E2B2A33" w14:textId="77777777" w:rsidR="005E3EEB" w:rsidRPr="00B16F72" w:rsidRDefault="000B448B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>
              <w:rPr>
                <w:rFonts w:ascii="Calibri" w:hAnsi="Calibri" w:cs="Calibri"/>
                <w:b/>
                <w:sz w:val="24"/>
                <w:szCs w:val="24"/>
              </w:rPr>
              <w:t>Installation Files</w:t>
            </w:r>
            <w:r w:rsidR="005E3EEB" w:rsidRPr="00B16F72">
              <w:rPr>
                <w:rFonts w:ascii="Calibri" w:hAnsi="Calibri" w:cs="Calibri"/>
                <w:b/>
                <w:sz w:val="24"/>
                <w:szCs w:val="24"/>
              </w:rPr>
              <w:t>:</w:t>
            </w:r>
          </w:p>
        </w:tc>
        <w:tc>
          <w:tcPr>
            <w:tcW w:w="3374" w:type="dxa"/>
          </w:tcPr>
          <w:p w14:paraId="48FEC53D" w14:textId="77777777" w:rsidR="000B448B" w:rsidRPr="00DB000B" w:rsidRDefault="00AA641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9" w:history="1">
              <w:r w:rsidR="000B448B" w:rsidRPr="00273867">
                <w:rPr>
                  <w:rStyle w:val="Hyperlink"/>
                  <w:rFonts w:ascii="Calibri" w:hAnsi="Calibri" w:cs="Calibri"/>
                  <w:sz w:val="24"/>
                  <w:szCs w:val="24"/>
                </w:rPr>
                <w:t>Passport Advantage</w:t>
              </w:r>
            </w:hyperlink>
          </w:p>
          <w:p w14:paraId="70E17F69" w14:textId="6D29394B" w:rsidR="000B448B" w:rsidRPr="000B448B" w:rsidRDefault="000D6F68" w:rsidP="000B448B">
            <w:pPr>
              <w:rPr>
                <w:rFonts w:ascii="Calibri" w:hAnsi="Calibri" w:cs="Calibri"/>
                <w:i/>
                <w:color w:val="000000"/>
                <w:sz w:val="24"/>
                <w:szCs w:val="24"/>
              </w:rPr>
            </w:pPr>
            <w:r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EMP_SSMP_10.1.1.0</w:t>
            </w:r>
            <w:r w:rsidR="007F4DD0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.0</w:t>
            </w:r>
            <w:r w:rsidR="005B0DA8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_226</w:t>
            </w:r>
            <w:r w:rsidR="000B448B" w:rsidRPr="000B448B">
              <w:rPr>
                <w:rFonts w:ascii="Calibri" w:hAnsi="Calibri" w:cs="Calibri"/>
                <w:i/>
                <w:color w:val="000000"/>
                <w:sz w:val="24"/>
                <w:szCs w:val="24"/>
              </w:rPr>
              <w:t>.zip</w:t>
            </w:r>
          </w:p>
          <w:p w14:paraId="15E1DF93" w14:textId="77777777" w:rsidR="000B448B" w:rsidRDefault="00AA641C" w:rsidP="000B448B">
            <w:pPr>
              <w:rPr>
                <w:rFonts w:ascii="Calibri" w:hAnsi="Calibri" w:cs="Calibri"/>
                <w:sz w:val="24"/>
                <w:szCs w:val="24"/>
              </w:rPr>
            </w:pPr>
            <w:hyperlink r:id="rId10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7E70A664" w14:textId="01D28D37" w:rsidR="00AE556C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EMP_SSMP_</w:t>
            </w:r>
            <w:r w:rsidR="004D03FC">
              <w:rPr>
                <w:rFonts w:ascii="Calibri" w:hAnsi="Calibri" w:cs="Calibri"/>
                <w:bCs/>
                <w:i/>
                <w:sz w:val="24"/>
                <w:szCs w:val="24"/>
              </w:rPr>
              <w:t>10.1.1.24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4D03FC">
              <w:rPr>
                <w:rFonts w:ascii="Calibri" w:hAnsi="Calibri" w:cs="Calibri"/>
                <w:bCs/>
                <w:i/>
                <w:sz w:val="24"/>
                <w:szCs w:val="24"/>
              </w:rPr>
              <w:t>367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.</w:t>
            </w:r>
            <w:r w:rsidR="00C32E8C" w:rsidRPr="00C334DC">
              <w:rPr>
                <w:rFonts w:ascii="Calibri" w:hAnsi="Calibri" w:cs="Calibri"/>
                <w:bCs/>
                <w:i/>
                <w:sz w:val="24"/>
                <w:szCs w:val="24"/>
              </w:rPr>
              <w:t>zi</w:t>
            </w:r>
            <w:r w:rsidR="009C4F8B">
              <w:rPr>
                <w:rFonts w:ascii="Calibri" w:hAnsi="Calibri" w:cs="Calibri"/>
                <w:bCs/>
                <w:i/>
                <w:sz w:val="24"/>
                <w:szCs w:val="24"/>
              </w:rPr>
              <w:t>p</w:t>
            </w:r>
          </w:p>
          <w:p w14:paraId="74C9A20B" w14:textId="059C5CD1" w:rsidR="00620E2B" w:rsidRDefault="00620E2B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For UrbanCodeDeploy –</w:t>
            </w:r>
          </w:p>
          <w:p w14:paraId="154ACAC5" w14:textId="2545CAD9" w:rsidR="00620E2B" w:rsidRPr="00A74F3D" w:rsidRDefault="00620E2B" w:rsidP="009E458B">
            <w:pPr>
              <w:rPr>
                <w:rFonts w:ascii="Calibri" w:hAnsi="Calibri" w:cs="Calibri"/>
                <w:i/>
                <w:sz w:val="24"/>
                <w:szCs w:val="24"/>
              </w:rPr>
            </w:pP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EMP_SSMP_</w:t>
            </w:r>
            <w:r w:rsidR="004D03FC">
              <w:rPr>
                <w:rFonts w:ascii="Calibri" w:hAnsi="Calibri" w:cs="Calibri"/>
                <w:i/>
                <w:sz w:val="24"/>
                <w:szCs w:val="24"/>
              </w:rPr>
              <w:t>10.1.1.24</w:t>
            </w:r>
            <w:r w:rsidR="00E94333">
              <w:rPr>
                <w:rFonts w:ascii="Calibri" w:hAnsi="Calibri" w:cs="Calibri"/>
                <w:i/>
                <w:sz w:val="24"/>
                <w:szCs w:val="24"/>
              </w:rPr>
              <w:t>_</w:t>
            </w:r>
            <w:r w:rsidR="004D03FC">
              <w:rPr>
                <w:rFonts w:ascii="Calibri" w:hAnsi="Calibri" w:cs="Calibri"/>
                <w:i/>
                <w:sz w:val="24"/>
                <w:szCs w:val="24"/>
              </w:rPr>
              <w:t>367</w:t>
            </w:r>
            <w:r w:rsidRPr="00A74F3D">
              <w:rPr>
                <w:rFonts w:ascii="Calibri" w:hAnsi="Calibri" w:cs="Calibri"/>
                <w:i/>
                <w:sz w:val="24"/>
                <w:szCs w:val="24"/>
              </w:rPr>
              <w:t>_UCD.zip</w:t>
            </w:r>
          </w:p>
        </w:tc>
        <w:tc>
          <w:tcPr>
            <w:tcW w:w="5603" w:type="dxa"/>
          </w:tcPr>
          <w:p w14:paraId="71519C2A" w14:textId="77777777" w:rsidR="000B448B" w:rsidRDefault="000B448B" w:rsidP="000B448B">
            <w:r>
              <w:rPr>
                <w:rFonts w:ascii="Calibri" w:hAnsi="Calibri" w:cs="Calibri"/>
                <w:bCs/>
                <w:sz w:val="24"/>
                <w:szCs w:val="24"/>
              </w:rPr>
              <w:t>If P</w:t>
            </w:r>
            <w:r w:rsidR="00F858B2">
              <w:rPr>
                <w:rFonts w:ascii="Calibri" w:hAnsi="Calibri" w:cs="Calibri"/>
                <w:bCs/>
                <w:sz w:val="24"/>
                <w:szCs w:val="24"/>
              </w:rPr>
              <w:t xml:space="preserve">rogram </w:t>
            </w:r>
            <w:r w:rsidR="008774E0">
              <w:rPr>
                <w:rFonts w:ascii="Calibri" w:hAnsi="Calibri" w:cs="Calibri"/>
                <w:bCs/>
                <w:sz w:val="24"/>
                <w:szCs w:val="24"/>
              </w:rPr>
              <w:t>Management</w:t>
            </w:r>
            <w:r>
              <w:rPr>
                <w:rFonts w:ascii="Calibri" w:hAnsi="Calibri" w:cs="Calibri"/>
                <w:bCs/>
                <w:sz w:val="24"/>
                <w:szCs w:val="24"/>
              </w:rPr>
              <w:t xml:space="preserve"> is installed then, include this file.</w:t>
            </w:r>
          </w:p>
          <w:p w14:paraId="62E0E4BA" w14:textId="77777777" w:rsidR="000B448B" w:rsidRDefault="000B448B" w:rsidP="000B448B"/>
          <w:p w14:paraId="68B39BF1" w14:textId="77777777" w:rsidR="000B448B" w:rsidRDefault="00AA641C" w:rsidP="000B448B">
            <w:pPr>
              <w:rPr>
                <w:rStyle w:val="Hyperlink"/>
                <w:rFonts w:ascii="Calibri" w:hAnsi="Calibri" w:cs="Calibri"/>
                <w:sz w:val="24"/>
                <w:szCs w:val="24"/>
              </w:rPr>
            </w:pPr>
            <w:hyperlink r:id="rId11" w:history="1">
              <w:r w:rsidR="000B448B" w:rsidRPr="00171C1D">
                <w:rPr>
                  <w:rStyle w:val="Hyperlink"/>
                  <w:rFonts w:ascii="Calibri" w:hAnsi="Calibri" w:cs="Calibri"/>
                  <w:sz w:val="24"/>
                  <w:szCs w:val="24"/>
                </w:rPr>
                <w:t>Fix Central</w:t>
              </w:r>
            </w:hyperlink>
          </w:p>
          <w:p w14:paraId="211C3C3B" w14:textId="491C4191" w:rsidR="005E3EEB" w:rsidRDefault="00D91679" w:rsidP="009E458B">
            <w:pPr>
              <w:rPr>
                <w:rFonts w:ascii="Calibri" w:hAnsi="Calibri" w:cs="Calibri"/>
                <w:bCs/>
                <w:i/>
                <w:sz w:val="24"/>
                <w:szCs w:val="24"/>
              </w:rPr>
            </w:pPr>
            <w:r>
              <w:rPr>
                <w:rFonts w:ascii="Calibri" w:hAnsi="Calibri" w:cs="Calibri"/>
                <w:bCs/>
                <w:i/>
                <w:sz w:val="24"/>
                <w:szCs w:val="24"/>
              </w:rPr>
              <w:t>EMP_PGM_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10.1.1.24</w:t>
            </w:r>
            <w:r w:rsidR="00E94333">
              <w:rPr>
                <w:rFonts w:ascii="Calibri" w:hAnsi="Calibri" w:cs="Calibri"/>
                <w:bCs/>
                <w:i/>
                <w:sz w:val="24"/>
                <w:szCs w:val="24"/>
              </w:rPr>
              <w:t>_</w:t>
            </w:r>
            <w:r w:rsidR="00CC36DF">
              <w:rPr>
                <w:rFonts w:ascii="Calibri" w:hAnsi="Calibri" w:cs="Calibri"/>
                <w:bCs/>
                <w:i/>
                <w:sz w:val="24"/>
                <w:szCs w:val="24"/>
              </w:rPr>
              <w:t>3</w:t>
            </w:r>
            <w:r w:rsidR="00F86927">
              <w:rPr>
                <w:rFonts w:ascii="Calibri" w:hAnsi="Calibri" w:cs="Calibri"/>
                <w:bCs/>
                <w:i/>
                <w:sz w:val="24"/>
                <w:szCs w:val="24"/>
              </w:rPr>
              <w:t>67</w:t>
            </w:r>
            <w:r w:rsidR="006514FC" w:rsidRPr="00436925">
              <w:rPr>
                <w:rFonts w:ascii="Calibri" w:hAnsi="Calibri" w:cs="Calibri"/>
                <w:bCs/>
                <w:i/>
                <w:sz w:val="24"/>
                <w:szCs w:val="24"/>
              </w:rPr>
              <w:t>.zip</w:t>
            </w:r>
          </w:p>
          <w:p w14:paraId="4D726DBA" w14:textId="174BA3CF" w:rsidR="00A74F3D" w:rsidRPr="00A74F3D" w:rsidRDefault="00A74F3D" w:rsidP="009E458B">
            <w:pPr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3D06CA" w:rsidRPr="00633D6C" w14:paraId="3187C577" w14:textId="77777777" w:rsidTr="00B52EAC">
        <w:trPr>
          <w:trHeight w:val="92"/>
        </w:trPr>
        <w:tc>
          <w:tcPr>
            <w:tcW w:w="2543" w:type="dxa"/>
          </w:tcPr>
          <w:p w14:paraId="2188CDFD" w14:textId="77777777" w:rsidR="003D06CA" w:rsidRPr="00B16F72" w:rsidRDefault="003D06CA" w:rsidP="00D2632F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Site Configuration File:</w:t>
            </w:r>
          </w:p>
        </w:tc>
        <w:tc>
          <w:tcPr>
            <w:tcW w:w="3374" w:type="dxa"/>
          </w:tcPr>
          <w:p w14:paraId="18533602" w14:textId="77777777" w:rsidR="003D06CA" w:rsidRPr="00EF3912" w:rsidRDefault="003D06CA" w:rsidP="00D2632F">
            <w:pPr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color w:val="000000"/>
                <w:sz w:val="24"/>
                <w:szCs w:val="24"/>
              </w:rPr>
              <w:t xml:space="preserve">Not </w:t>
            </w:r>
            <w:r w:rsidRPr="00B16F72">
              <w:rPr>
                <w:rFonts w:ascii="Calibri" w:hAnsi="Calibri" w:cs="Calibri"/>
                <w:color w:val="000000"/>
                <w:sz w:val="24"/>
                <w:szCs w:val="24"/>
              </w:rPr>
              <w:t>Applicable</w:t>
            </w:r>
          </w:p>
        </w:tc>
        <w:tc>
          <w:tcPr>
            <w:tcW w:w="5603" w:type="dxa"/>
          </w:tcPr>
          <w:p w14:paraId="4B4BAF10" w14:textId="77777777" w:rsidR="003D06CA" w:rsidRDefault="003D06CA" w:rsidP="000B448B">
            <w:pPr>
              <w:rPr>
                <w:rFonts w:ascii="Calibri" w:hAnsi="Calibri" w:cs="Calibri"/>
                <w:bCs/>
                <w:sz w:val="24"/>
                <w:szCs w:val="24"/>
              </w:rPr>
            </w:pPr>
          </w:p>
        </w:tc>
      </w:tr>
      <w:tr w:rsidR="003D06CA" w:rsidRPr="00633D6C" w14:paraId="77C46917" w14:textId="77777777" w:rsidTr="00B52EAC">
        <w:trPr>
          <w:trHeight w:val="92"/>
        </w:trPr>
        <w:tc>
          <w:tcPr>
            <w:tcW w:w="2543" w:type="dxa"/>
          </w:tcPr>
          <w:p w14:paraId="40AF391A" w14:textId="77777777" w:rsidR="003D06CA" w:rsidRPr="00B16F72" w:rsidRDefault="003D06CA" w:rsidP="0024518E">
            <w:pPr>
              <w:rPr>
                <w:rFonts w:ascii="Calibri" w:hAnsi="Calibri" w:cs="Calibri"/>
                <w:b/>
                <w:sz w:val="24"/>
                <w:szCs w:val="24"/>
              </w:rPr>
            </w:pPr>
            <w:r w:rsidRPr="00B16F72">
              <w:rPr>
                <w:rFonts w:ascii="Calibri" w:hAnsi="Calibri" w:cs="Calibri"/>
                <w:b/>
                <w:sz w:val="24"/>
                <w:szCs w:val="24"/>
              </w:rPr>
              <w:t>Other Documents:</w:t>
            </w:r>
          </w:p>
        </w:tc>
        <w:tc>
          <w:tcPr>
            <w:tcW w:w="3374" w:type="dxa"/>
          </w:tcPr>
          <w:p w14:paraId="1D2E703E" w14:textId="7BECF877" w:rsidR="003D06CA" w:rsidRPr="00B16F72" w:rsidRDefault="00AA641C" w:rsidP="00F6327D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  <w:hyperlink r:id="rId12" w:history="1">
              <w:r w:rsidR="003D06CA" w:rsidRPr="00DD7F68">
                <w:rPr>
                  <w:rStyle w:val="Hyperlink"/>
                  <w:rFonts w:ascii="Calibri" w:hAnsi="Calibri" w:cs="Calibri"/>
                  <w:sz w:val="24"/>
                  <w:szCs w:val="24"/>
                </w:rPr>
                <w:t>IBM Knowledge Center for Emptoris Strategic Supply Management</w:t>
              </w:r>
            </w:hyperlink>
          </w:p>
        </w:tc>
        <w:tc>
          <w:tcPr>
            <w:tcW w:w="5603" w:type="dxa"/>
          </w:tcPr>
          <w:p w14:paraId="1994AD2D" w14:textId="77777777" w:rsidR="003D06CA" w:rsidRPr="00F67798" w:rsidRDefault="003D06CA" w:rsidP="0024518E">
            <w:pPr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</w:tbl>
    <w:p w14:paraId="45009E14" w14:textId="77777777" w:rsidR="00AE556C" w:rsidRDefault="00AE556C">
      <w:pPr>
        <w:rPr>
          <w:rFonts w:ascii="Calibri" w:hAnsi="Calibri" w:cs="Calibri"/>
          <w:b/>
          <w:sz w:val="28"/>
          <w:szCs w:val="28"/>
        </w:rPr>
      </w:pPr>
    </w:p>
    <w:p w14:paraId="43BD2F85" w14:textId="6C739DEE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4BD4DB61" w14:textId="77777777" w:rsidR="00CA0E5F" w:rsidRDefault="00CA0E5F">
      <w:pPr>
        <w:rPr>
          <w:rFonts w:ascii="Calibri" w:hAnsi="Calibri" w:cs="Calibri"/>
          <w:b/>
          <w:sz w:val="28"/>
          <w:szCs w:val="28"/>
        </w:rPr>
      </w:pPr>
    </w:p>
    <w:p w14:paraId="3FF0FED1" w14:textId="77777777" w:rsidR="005E3EEB" w:rsidRDefault="005E3EEB">
      <w:pPr>
        <w:rPr>
          <w:rFonts w:ascii="Calibri" w:hAnsi="Calibri" w:cs="Calibri"/>
          <w:b/>
          <w:sz w:val="28"/>
          <w:szCs w:val="28"/>
        </w:rPr>
      </w:pPr>
      <w:r w:rsidRPr="00633D6C">
        <w:rPr>
          <w:rFonts w:ascii="Calibri" w:hAnsi="Calibri" w:cs="Calibri"/>
          <w:b/>
          <w:sz w:val="28"/>
          <w:szCs w:val="28"/>
        </w:rPr>
        <w:t>Special Instruction</w:t>
      </w:r>
      <w:r>
        <w:rPr>
          <w:rFonts w:ascii="Calibri" w:hAnsi="Calibri" w:cs="Calibri"/>
          <w:b/>
          <w:sz w:val="28"/>
          <w:szCs w:val="28"/>
        </w:rPr>
        <w:t xml:space="preserve">s </w:t>
      </w:r>
      <w:r w:rsidRPr="00633D6C">
        <w:rPr>
          <w:rFonts w:ascii="Calibri" w:hAnsi="Calibri" w:cs="Calibri"/>
          <w:b/>
          <w:sz w:val="28"/>
          <w:szCs w:val="28"/>
        </w:rPr>
        <w:t>for Customer / Application Management</w:t>
      </w:r>
      <w:r>
        <w:rPr>
          <w:rFonts w:ascii="Calibri" w:hAnsi="Calibri" w:cs="Calibri"/>
          <w:b/>
          <w:sz w:val="28"/>
          <w:szCs w:val="28"/>
        </w:rPr>
        <w:t xml:space="preserve"> team:</w:t>
      </w:r>
    </w:p>
    <w:p w14:paraId="1BF63F53" w14:textId="3358AC33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B91EAF">
        <w:rPr>
          <w:rFonts w:ascii="Calibri" w:eastAsia="Calibri" w:hAnsi="Calibri" w:cs="Calibri"/>
          <w:color w:val="000000"/>
          <w:sz w:val="24"/>
          <w:szCs w:val="24"/>
        </w:rPr>
        <w:t>For UCD deployment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of current release </w:t>
      </w:r>
      <w:r w:rsidR="004D03FC">
        <w:rPr>
          <w:rFonts w:ascii="Calibri" w:eastAsia="Calibri" w:hAnsi="Calibri" w:cs="Calibri"/>
          <w:color w:val="000000"/>
          <w:sz w:val="24"/>
          <w:szCs w:val="24"/>
        </w:rPr>
        <w:t>10.1.1.24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, the minimum produc</w:t>
      </w:r>
      <w:r>
        <w:rPr>
          <w:rFonts w:ascii="Calibri" w:eastAsia="Calibri" w:hAnsi="Calibri" w:cs="Calibri"/>
          <w:color w:val="000000"/>
          <w:sz w:val="24"/>
          <w:szCs w:val="24"/>
        </w:rPr>
        <w:t>t version should be 10.1.1.5</w:t>
      </w:r>
      <w:r w:rsidRPr="00B91EAF"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50E821D4" w14:textId="3BC1A98E" w:rsidR="0071403A" w:rsidRDefault="0071403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>
        <w:rPr>
          <w:rFonts w:ascii="Calibri" w:eastAsia="Calibri" w:hAnsi="Calibri" w:cs="Calibri"/>
          <w:color w:val="000000"/>
          <w:sz w:val="24"/>
          <w:szCs w:val="24"/>
        </w:rPr>
        <w:t>New ‘Common Web Server’ build is made available “</w:t>
      </w:r>
      <w:r w:rsidRPr="00F34E13">
        <w:rPr>
          <w:rFonts w:ascii="Calibri" w:eastAsia="Calibri" w:hAnsi="Calibri" w:cs="Calibri"/>
          <w:color w:val="000000"/>
          <w:sz w:val="24"/>
          <w:szCs w:val="24"/>
        </w:rPr>
        <w:t>emptoris_web-2.0.1.0.0-84.zip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”. This should be used for </w:t>
      </w:r>
      <w:r w:rsidR="00205364">
        <w:rPr>
          <w:rFonts w:ascii="Calibri" w:eastAsia="Calibri" w:hAnsi="Calibri" w:cs="Calibri"/>
          <w:color w:val="000000"/>
          <w:sz w:val="24"/>
          <w:szCs w:val="24"/>
        </w:rPr>
        <w:t>10.1.1.24</w:t>
      </w:r>
      <w:r>
        <w:rPr>
          <w:rFonts w:ascii="Calibri" w:eastAsia="Calibri" w:hAnsi="Calibri" w:cs="Calibri"/>
          <w:color w:val="000000"/>
          <w:sz w:val="24"/>
          <w:szCs w:val="24"/>
        </w:rPr>
        <w:t xml:space="preserve"> and high</w:t>
      </w:r>
      <w:r w:rsidR="00D536BC">
        <w:rPr>
          <w:rFonts w:ascii="Calibri" w:eastAsia="Calibri" w:hAnsi="Calibri" w:cs="Calibri"/>
          <w:color w:val="000000"/>
          <w:sz w:val="24"/>
          <w:szCs w:val="24"/>
        </w:rPr>
        <w:t>er fix packs on version 10.1.1</w:t>
      </w:r>
      <w:r>
        <w:rPr>
          <w:rFonts w:ascii="Calibri" w:eastAsia="Calibri" w:hAnsi="Calibri" w:cs="Calibri"/>
          <w:color w:val="000000"/>
          <w:sz w:val="24"/>
          <w:szCs w:val="24"/>
        </w:rPr>
        <w:t>.</w:t>
      </w:r>
    </w:p>
    <w:p w14:paraId="7EDB9C46" w14:textId="1DC76596" w:rsidR="007E289A" w:rsidRPr="00B8617F" w:rsidRDefault="007E289A" w:rsidP="0071403A">
      <w:pPr>
        <w:pStyle w:val="ListParagraph"/>
        <w:numPr>
          <w:ilvl w:val="0"/>
          <w:numId w:val="2"/>
        </w:numPr>
        <w:ind w:right="1584"/>
        <w:rPr>
          <w:rFonts w:ascii="Calibri" w:eastAsia="Calibri" w:hAnsi="Calibri" w:cs="Calibri"/>
          <w:color w:val="000000"/>
          <w:sz w:val="24"/>
          <w:szCs w:val="24"/>
        </w:rPr>
      </w:pP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The UCD </w:t>
      </w:r>
      <w:r w:rsidR="00064E42" w:rsidRPr="007E289A">
        <w:rPr>
          <w:rFonts w:ascii="Calibri" w:eastAsia="Calibri" w:hAnsi="Calibri" w:cs="Calibri"/>
          <w:color w:val="000000"/>
          <w:sz w:val="24"/>
          <w:szCs w:val="24"/>
        </w:rPr>
        <w:t>scripts</w:t>
      </w:r>
      <w:r w:rsidRPr="007E289A">
        <w:rPr>
          <w:rFonts w:ascii="Calibri" w:eastAsia="Calibri" w:hAnsi="Calibri" w:cs="Calibri"/>
          <w:color w:val="000000"/>
          <w:sz w:val="24"/>
          <w:szCs w:val="24"/>
        </w:rPr>
        <w:t xml:space="preserve"> for all the products have been changed. Please pick the new product specific script</w:t>
      </w:r>
      <w:r w:rsidR="00BC1B30">
        <w:rPr>
          <w:rFonts w:ascii="Calibri" w:eastAsia="Calibri" w:hAnsi="Calibri" w:cs="Calibri"/>
          <w:color w:val="000000"/>
          <w:sz w:val="24"/>
          <w:szCs w:val="24"/>
        </w:rPr>
        <w:t>.</w:t>
      </w:r>
      <w:r w:rsidR="00BC1B30" w:rsidRPr="00BC1B30">
        <w:rPr>
          <w:rFonts w:ascii="Helv" w:eastAsia="Calibri" w:hAnsi="Helv" w:cs="Helv"/>
          <w:b/>
          <w:bCs/>
          <w:color w:val="000000"/>
        </w:rPr>
        <w:t xml:space="preserve"> </w:t>
      </w:r>
      <w:r w:rsidR="00BC1B30" w:rsidRPr="00BC1B30">
        <w:rPr>
          <w:rFonts w:ascii="Calibri" w:eastAsia="Calibri" w:hAnsi="Calibri" w:cs="Calibri"/>
          <w:color w:val="000000"/>
          <w:sz w:val="24"/>
          <w:szCs w:val="24"/>
        </w:rPr>
        <w:t>These scripts should be used for all the UCD nodes for all the releases going ahead.</w:t>
      </w:r>
    </w:p>
    <w:p w14:paraId="74669136" w14:textId="77777777" w:rsidR="0071403A" w:rsidRPr="004D31C2" w:rsidRDefault="0071403A" w:rsidP="0071403A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</w:p>
    <w:p w14:paraId="1DDDC499" w14:textId="77777777" w:rsidR="0071403A" w:rsidRPr="004D31C2" w:rsidRDefault="0071403A" w:rsidP="0071403A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1B6C64F4" w14:textId="329C4FF7" w:rsidR="00FD5A1D" w:rsidRPr="004D31C2" w:rsidRDefault="00FD5A1D" w:rsidP="00FD5A1D">
      <w:pPr>
        <w:ind w:right="1584"/>
        <w:rPr>
          <w:rFonts w:ascii="Tms Rmn" w:eastAsia="Calibri" w:hAnsi="Tms Rmn" w:cs="Tms Rmn"/>
          <w:color w:val="000000"/>
          <w:sz w:val="4"/>
          <w:szCs w:val="4"/>
        </w:rPr>
      </w:pPr>
      <w:r w:rsidRPr="004D31C2">
        <w:rPr>
          <w:rFonts w:ascii="Tms Rmn" w:eastAsia="Calibri" w:hAnsi="Tms Rmn" w:cs="Tms Rmn"/>
          <w:color w:val="000000"/>
          <w:sz w:val="4"/>
          <w:szCs w:val="4"/>
        </w:rPr>
        <w:br/>
      </w:r>
    </w:p>
    <w:p w14:paraId="38959473" w14:textId="77777777" w:rsidR="00FD5A1D" w:rsidRPr="004D31C2" w:rsidRDefault="00FD5A1D" w:rsidP="00FD5A1D">
      <w:pPr>
        <w:autoSpaceDE w:val="0"/>
        <w:autoSpaceDN w:val="0"/>
        <w:adjustRightInd w:val="0"/>
        <w:rPr>
          <w:rFonts w:ascii="Calibri" w:eastAsia="Calibri" w:hAnsi="Calibri" w:cs="Calibri"/>
          <w:i/>
          <w:iCs/>
          <w:color w:val="0000E0"/>
          <w:sz w:val="24"/>
          <w:szCs w:val="24"/>
        </w:rPr>
      </w:pPr>
    </w:p>
    <w:p w14:paraId="5D6CD844" w14:textId="77777777" w:rsidR="00FD5A1D" w:rsidRPr="004D31C2" w:rsidRDefault="00FD5A1D" w:rsidP="00FD5A1D">
      <w:pPr>
        <w:autoSpaceDE w:val="0"/>
        <w:autoSpaceDN w:val="0"/>
        <w:adjustRightInd w:val="0"/>
        <w:spacing w:before="240"/>
        <w:rPr>
          <w:rFonts w:ascii="Calibri" w:eastAsia="Calibri" w:hAnsi="Calibri" w:cs="Calibri"/>
          <w:b/>
          <w:bCs/>
          <w:color w:val="000000"/>
          <w:sz w:val="24"/>
          <w:szCs w:val="24"/>
        </w:rPr>
      </w:pPr>
      <w:r w:rsidRPr="004D31C2">
        <w:rPr>
          <w:rFonts w:ascii="Tms Rmn" w:eastAsia="Calibri" w:hAnsi="Tms Rmn" w:cs="Tms Rmn"/>
          <w:color w:val="000000"/>
          <w:sz w:val="24"/>
          <w:szCs w:val="24"/>
        </w:rPr>
        <w:t> </w:t>
      </w:r>
      <w:r w:rsidRPr="004D31C2">
        <w:rPr>
          <w:rFonts w:ascii="Calibri" w:eastAsia="Calibri" w:hAnsi="Calibri" w:cs="Calibri"/>
          <w:b/>
          <w:bCs/>
          <w:color w:val="000000"/>
          <w:sz w:val="24"/>
          <w:szCs w:val="24"/>
        </w:rPr>
        <w:t>Special Database Instructions</w:t>
      </w:r>
    </w:p>
    <w:p w14:paraId="33B19666" w14:textId="723807B0" w:rsidR="00FD5A1D" w:rsidRDefault="00FD5A1D" w:rsidP="00FD5A1D">
      <w:pPr>
        <w:ind w:right="1584"/>
        <w:rPr>
          <w:rFonts w:ascii="Calibri" w:hAnsi="Calibri" w:cs="Calibri"/>
          <w:b/>
          <w:sz w:val="28"/>
          <w:szCs w:val="28"/>
        </w:rPr>
      </w:pP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Does this </w:t>
      </w:r>
      <w:r w:rsidR="002F227D">
        <w:rPr>
          <w:rFonts w:ascii="Calibri" w:eastAsia="Calibri" w:hAnsi="Calibri" w:cs="Calibri"/>
          <w:color w:val="000000"/>
          <w:sz w:val="24"/>
          <w:szCs w:val="24"/>
        </w:rPr>
        <w:t>fix pack</w:t>
      </w:r>
      <w:r w:rsidRPr="004D31C2">
        <w:rPr>
          <w:rFonts w:ascii="Calibri" w:eastAsia="Calibri" w:hAnsi="Calibri" w:cs="Calibri"/>
          <w:color w:val="000000"/>
          <w:sz w:val="24"/>
          <w:szCs w:val="24"/>
        </w:rPr>
        <w:t xml:space="preserve"> require a backup of the application database? </w:t>
      </w:r>
      <w:r>
        <w:rPr>
          <w:rFonts w:ascii="Calibri" w:eastAsia="Calibri" w:hAnsi="Calibri" w:cs="Calibri"/>
          <w:color w:val="000000"/>
          <w:sz w:val="24"/>
          <w:szCs w:val="24"/>
        </w:rPr>
        <w:t>- No</w:t>
      </w:r>
      <w:r>
        <w:rPr>
          <w:rFonts w:ascii="Calibri" w:hAnsi="Calibri" w:cs="Calibri"/>
          <w:b/>
          <w:sz w:val="28"/>
          <w:szCs w:val="28"/>
        </w:rPr>
        <w:t xml:space="preserve"> </w:t>
      </w:r>
    </w:p>
    <w:p w14:paraId="3EE39DE6" w14:textId="2AD6AC87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8A585B9" w14:textId="1C89C33A" w:rsidR="00B803CA" w:rsidRDefault="004D03F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10.1.1.24</w:t>
      </w:r>
      <w:r w:rsidR="00B803CA" w:rsidRPr="00B803CA">
        <w:rPr>
          <w:rFonts w:ascii="Calibri" w:hAnsi="Calibri" w:cs="Calibri"/>
          <w:sz w:val="22"/>
          <w:szCs w:val="22"/>
        </w:rPr>
        <w:t xml:space="preserve"> Resolved Issues: No issues were resolved in this release.</w:t>
      </w:r>
    </w:p>
    <w:p w14:paraId="3D2D4809" w14:textId="77777777" w:rsidR="00FD5A1D" w:rsidRDefault="00FD5A1D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0D31660D" w14:textId="1C53C9E1" w:rsidR="00502BCC" w:rsidRDefault="00502BCC" w:rsidP="00502BCC">
      <w:pPr>
        <w:ind w:right="1584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For the </w:t>
      </w:r>
      <w:hyperlink r:id="rId13" w:history="1">
        <w:r w:rsidRPr="00E860C8">
          <w:rPr>
            <w:rStyle w:val="Hyperlink"/>
            <w:rFonts w:ascii="Calibri" w:hAnsi="Calibri" w:cs="Calibri"/>
            <w:b/>
            <w:sz w:val="22"/>
            <w:szCs w:val="22"/>
          </w:rPr>
          <w:t>Suite Compatibility Matrix</w:t>
        </w:r>
      </w:hyperlink>
      <w:bookmarkStart w:id="0" w:name="_GoBack"/>
      <w:bookmarkEnd w:id="0"/>
      <w:r w:rsidR="005D0F55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and </w:t>
      </w:r>
      <w:hyperlink r:id="rId14" w:history="1">
        <w:r w:rsidR="004D03FC">
          <w:rPr>
            <w:rStyle w:val="Hyperlink"/>
            <w:rFonts w:ascii="Calibri" w:hAnsi="Calibri" w:cs="Calibri"/>
            <w:b/>
            <w:sz w:val="22"/>
            <w:szCs w:val="22"/>
          </w:rPr>
          <w:t>IBM Emptoris Strategic Supply Management 10.1.1.24 Release Notes</w:t>
        </w:r>
      </w:hyperlink>
      <w:r>
        <w:rPr>
          <w:rFonts w:ascii="Calibri" w:hAnsi="Calibri" w:cs="Calibri"/>
          <w:sz w:val="22"/>
          <w:szCs w:val="22"/>
        </w:rPr>
        <w:t xml:space="preserve"> </w:t>
      </w:r>
      <w:r w:rsidR="007425CB">
        <w:rPr>
          <w:rFonts w:ascii="Calibri" w:hAnsi="Calibri" w:cs="Calibri"/>
          <w:sz w:val="22"/>
          <w:szCs w:val="22"/>
        </w:rPr>
        <w:t xml:space="preserve"> consult </w:t>
      </w:r>
      <w:r>
        <w:rPr>
          <w:rFonts w:ascii="Calibri" w:hAnsi="Calibri" w:cs="Calibri"/>
          <w:sz w:val="22"/>
          <w:szCs w:val="22"/>
        </w:rPr>
        <w:t>documentation on the IBM Knowledge Center.</w:t>
      </w:r>
    </w:p>
    <w:p w14:paraId="1170092D" w14:textId="152AED1A" w:rsidR="00B803CA" w:rsidRDefault="00B803CA" w:rsidP="00502BCC">
      <w:pPr>
        <w:ind w:right="1584"/>
        <w:rPr>
          <w:rFonts w:ascii="Calibri" w:hAnsi="Calibri" w:cs="Calibri"/>
          <w:sz w:val="22"/>
          <w:szCs w:val="22"/>
        </w:rPr>
      </w:pPr>
    </w:p>
    <w:p w14:paraId="3B24BFF6" w14:textId="77777777" w:rsidR="00AE556C" w:rsidRDefault="00AE556C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0BE525E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0EBA0C0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A82C86F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650065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710246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151535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7F80FB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627FE646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FB202D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4B24C6A7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CE5E3DC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A635E0A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511B8DC8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291B1E14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105DB8BD" w14:textId="77777777" w:rsidR="00CA0E5F" w:rsidRDefault="00CA0E5F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</w:p>
    <w:p w14:paraId="7684EB78" w14:textId="77777777" w:rsidR="002A555B" w:rsidRDefault="002A555B" w:rsidP="002A555B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color w:val="000000"/>
          <w:sz w:val="28"/>
          <w:szCs w:val="28"/>
        </w:rPr>
      </w:pPr>
      <w:r>
        <w:rPr>
          <w:rFonts w:ascii="Calibri" w:eastAsia="Calibri" w:hAnsi="Calibri" w:cs="Calibri"/>
          <w:b/>
          <w:bCs/>
          <w:color w:val="000000"/>
          <w:sz w:val="28"/>
          <w:szCs w:val="28"/>
        </w:rPr>
        <w:t>Strategic Supply Management Platform Upgrade Matrix</w:t>
      </w:r>
    </w:p>
    <w:p w14:paraId="7B6CD7B1" w14:textId="7597C326" w:rsidR="009E0B40" w:rsidRDefault="002A555B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Note:  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If you are currently running a Strategic Supply Management Platform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iFix version that is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>higher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than what is published i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>n the corresponding cell in the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table</w:t>
      </w:r>
      <w:r w:rsidR="00E370C1">
        <w:rPr>
          <w:rFonts w:ascii="Calibri" w:eastAsia="Calibri" w:hAnsi="Calibri" w:cs="Calibri"/>
          <w:bCs/>
          <w:color w:val="000000"/>
          <w:sz w:val="24"/>
          <w:szCs w:val="24"/>
        </w:rPr>
        <w:t xml:space="preserve"> below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, you should </w:t>
      </w:r>
      <w:r>
        <w:rPr>
          <w:rFonts w:ascii="Calibri" w:eastAsia="Calibri" w:hAnsi="Calibri" w:cs="Calibri"/>
          <w:b/>
          <w:bCs/>
          <w:color w:val="000000"/>
          <w:sz w:val="24"/>
          <w:szCs w:val="24"/>
        </w:rPr>
        <w:t xml:space="preserve">not </w:t>
      </w:r>
      <w:r w:rsidR="00B747FE">
        <w:rPr>
          <w:rFonts w:ascii="Calibri" w:eastAsia="Calibri" w:hAnsi="Calibri" w:cs="Calibri"/>
          <w:bCs/>
          <w:color w:val="000000"/>
          <w:sz w:val="24"/>
          <w:szCs w:val="24"/>
        </w:rPr>
        <w:t xml:space="preserve">upgrade to </w:t>
      </w:r>
      <w:r w:rsidR="00E10F0D">
        <w:rPr>
          <w:rFonts w:ascii="Calibri" w:eastAsia="Calibri" w:hAnsi="Calibri" w:cs="Calibri"/>
          <w:bCs/>
          <w:color w:val="000000"/>
          <w:sz w:val="24"/>
          <w:szCs w:val="24"/>
        </w:rPr>
        <w:t>10.1.1.24</w:t>
      </w:r>
      <w:r w:rsidR="00E9634F">
        <w:rPr>
          <w:rFonts w:ascii="Calibri" w:eastAsia="Calibri" w:hAnsi="Calibri" w:cs="Calibri"/>
          <w:bCs/>
          <w:color w:val="000000"/>
          <w:sz w:val="24"/>
          <w:szCs w:val="24"/>
        </w:rPr>
        <w:t>.</w:t>
      </w: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Please check with Support to determine the proper migration path.</w:t>
      </w:r>
    </w:p>
    <w:p w14:paraId="1A00510F" w14:textId="199B98BD" w:rsidR="005E3EEB" w:rsidRDefault="009E0B40" w:rsidP="009E0B40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  <w:r>
        <w:rPr>
          <w:rFonts w:ascii="Calibri" w:eastAsia="Calibri" w:hAnsi="Calibri" w:cs="Calibri"/>
          <w:bCs/>
          <w:color w:val="000000"/>
          <w:sz w:val="24"/>
          <w:szCs w:val="24"/>
        </w:rPr>
        <w:t xml:space="preserve"> </w:t>
      </w:r>
    </w:p>
    <w:p w14:paraId="0CD6CB7C" w14:textId="274908F3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Spec="center" w:tblpY="-36"/>
        <w:tblW w:w="2634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36"/>
        <w:gridCol w:w="1798"/>
      </w:tblGrid>
      <w:tr w:rsidR="00975100" w:rsidRPr="00975100" w14:paraId="4EFD72C9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9C23B9" w14:textId="77777777" w:rsidR="00975100" w:rsidRPr="00975100" w:rsidRDefault="00975100" w:rsidP="00975100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Branch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C136459" w14:textId="77777777" w:rsidR="00975100" w:rsidRPr="00975100" w:rsidRDefault="00975100" w:rsidP="00975100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975100"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  <w:t>SSM/PGM</w:t>
            </w:r>
          </w:p>
        </w:tc>
      </w:tr>
      <w:tr w:rsidR="005E1719" w:rsidRPr="00975100" w14:paraId="737E817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297BA8" w14:textId="52EA2428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9.0.6.X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79D8CA" w14:textId="1375BBC2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1152DCE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3A9CE2" w14:textId="668D6A1E" w:rsidR="005E1719" w:rsidRPr="00975100" w:rsidRDefault="005E1719" w:rsidP="005E1719">
            <w:pPr>
              <w:jc w:val="center"/>
              <w:rPr>
                <w:rFonts w:eastAsia="Times New Roman"/>
                <w:b/>
                <w:bCs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A16955" w14:textId="0917B093" w:rsidR="005E1719" w:rsidRPr="00975100" w:rsidRDefault="005E1719" w:rsidP="005E1719">
            <w:pPr>
              <w:jc w:val="center"/>
              <w:rPr>
                <w:rFonts w:eastAsia="Times New Roman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9B643CD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F1BA60" w14:textId="0CC3A48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9.5.1.3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E87C5A5" w14:textId="079F92A9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38005158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53E8DD" w14:textId="587FAF7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193482" w14:textId="477995C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 xml:space="preserve">10.0.0.3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iFix11</w:t>
            </w:r>
          </w:p>
        </w:tc>
      </w:tr>
      <w:tr w:rsidR="005E1719" w:rsidRPr="00975100" w14:paraId="1C5C22B5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F3D68F1" w14:textId="60AA684F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10.0.1.1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EFECCB" w14:textId="6B0F0951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10.0.1.1 iFix2</w:t>
            </w:r>
          </w:p>
        </w:tc>
      </w:tr>
      <w:tr w:rsidR="005E1719" w:rsidRPr="00975100" w14:paraId="3BE1570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5AC3014" w14:textId="0DAC7D15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10.0.1.2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9BD3D32" w14:textId="24D0942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10.0.1.2 iFix3</w:t>
            </w:r>
          </w:p>
        </w:tc>
      </w:tr>
      <w:tr w:rsidR="005E1719" w:rsidRPr="00975100" w14:paraId="57411712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D51D75" w14:textId="28D9257C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0D7F0E3" w14:textId="1B4A355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10.0.1.3 iFix6</w:t>
            </w:r>
          </w:p>
        </w:tc>
      </w:tr>
      <w:tr w:rsidR="005E1719" w:rsidRPr="00975100" w14:paraId="51CA1AFF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1EE8E0" w14:textId="7DB2A6D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10.0.1.4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8C352" w14:textId="0D5DF4A2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10.0.1.4 iFix8</w:t>
            </w:r>
          </w:p>
        </w:tc>
      </w:tr>
      <w:tr w:rsidR="005E1719" w:rsidRPr="00975100" w14:paraId="58ADAA3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17A8C5E" w14:textId="5AF1C0A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10.0.1.5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67C2EB" w14:textId="63F3263E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413ED79A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96872C0" w14:textId="16D2D927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6F701" w14:textId="2F6D954C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10.0.2.18</w:t>
            </w:r>
          </w:p>
        </w:tc>
      </w:tr>
      <w:tr w:rsidR="005E1719" w:rsidRPr="00975100" w14:paraId="3C7E4077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2E1FA8D" w14:textId="5939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10.0.2.3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55B143" w14:textId="3728CB68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10.0.2.3 LA iFix9</w:t>
            </w:r>
          </w:p>
        </w:tc>
      </w:tr>
      <w:tr w:rsidR="005E1719" w:rsidRPr="00975100" w14:paraId="6CCA0AD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27BE900" w14:textId="0AF10871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10.0.3.0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A681AF" w14:textId="5F3A5624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N/A</w:t>
            </w:r>
          </w:p>
        </w:tc>
      </w:tr>
      <w:tr w:rsidR="005E1719" w:rsidRPr="00975100" w14:paraId="658D351E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0F9688" w14:textId="29A2EEC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10.0.4.0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70E9594" w14:textId="45D80035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10.0.4.0 iFix13</w:t>
            </w:r>
          </w:p>
        </w:tc>
      </w:tr>
      <w:tr w:rsidR="005E1719" w:rsidRPr="00975100" w14:paraId="7C31707C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3B9E61" w14:textId="58FE8ADE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10.1.0.x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37F151" w14:textId="18B9E2ED" w:rsidR="005E1719" w:rsidRPr="00CE6661" w:rsidRDefault="005E1719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10.1.0.15</w:t>
            </w:r>
          </w:p>
        </w:tc>
      </w:tr>
      <w:tr w:rsidR="005E1719" w:rsidRPr="00975100" w14:paraId="2EB008EB" w14:textId="77777777" w:rsidTr="00975100">
        <w:trPr>
          <w:trHeight w:val="300"/>
          <w:tblCellSpacing w:w="0" w:type="dxa"/>
        </w:trPr>
        <w:tc>
          <w:tcPr>
            <w:tcW w:w="0" w:type="auto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FB550DE" w14:textId="676F4824" w:rsidR="005E1719" w:rsidRPr="00CE6661" w:rsidRDefault="005E1719" w:rsidP="005E1719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</w:pPr>
            <w:r w:rsidRPr="00714657">
              <w:rPr>
                <w:rFonts w:eastAsia="Times New Roman"/>
                <w:b/>
                <w:bCs/>
                <w:color w:val="000000" w:themeColor="text1"/>
                <w:sz w:val="24"/>
                <w:szCs w:val="24"/>
                <w:lang w:val="en-IN" w:eastAsia="en-IN"/>
              </w:rPr>
              <w:t>10.1.1.x</w:t>
            </w:r>
          </w:p>
        </w:tc>
        <w:tc>
          <w:tcPr>
            <w:tcW w:w="0" w:type="auto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9EC0607" w14:textId="58D12B85" w:rsidR="005E1719" w:rsidRPr="00CE6661" w:rsidRDefault="004D03FC" w:rsidP="005E1719">
            <w:pPr>
              <w:jc w:val="center"/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en-IN" w:eastAsia="en-IN"/>
              </w:rPr>
              <w:t>10.1.1.24</w:t>
            </w:r>
          </w:p>
        </w:tc>
      </w:tr>
    </w:tbl>
    <w:p w14:paraId="37E90EE5" w14:textId="485FFDD2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5993B48" w14:textId="0283F26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AF72A91" w14:textId="1728CBA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319A162" w14:textId="4F080418" w:rsidR="00523DB9" w:rsidRDefault="00523DB9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62970511" w14:textId="248FC768" w:rsidR="00E94333" w:rsidRDefault="00E94333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3AE1AFE8" w14:textId="7F2629EC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6235059" w14:textId="4A7D59A3" w:rsidR="00C7621C" w:rsidRDefault="00C7621C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45E4A771" w14:textId="6FF88319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2BCA4940" w14:textId="0A68D6C6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73041815" w14:textId="7F1CD9A2" w:rsidR="00975100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p w14:paraId="10D60D5F" w14:textId="77777777" w:rsidR="00975100" w:rsidRPr="00471CCD" w:rsidRDefault="00975100" w:rsidP="00471CCD">
      <w:pPr>
        <w:autoSpaceDE w:val="0"/>
        <w:autoSpaceDN w:val="0"/>
        <w:adjustRightInd w:val="0"/>
        <w:rPr>
          <w:rFonts w:ascii="Calibri" w:eastAsia="Calibri" w:hAnsi="Calibri" w:cs="Calibri"/>
          <w:bCs/>
          <w:color w:val="000000"/>
          <w:sz w:val="24"/>
          <w:szCs w:val="24"/>
        </w:rPr>
      </w:pPr>
    </w:p>
    <w:sectPr w:rsidR="00975100" w:rsidRPr="00471CCD" w:rsidSect="00633D6C">
      <w:headerReference w:type="default" r:id="rId15"/>
      <w:footerReference w:type="default" r:id="rId16"/>
      <w:pgSz w:w="15840" w:h="12240" w:orient="landscape"/>
      <w:pgMar w:top="43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490B50" w14:textId="77777777" w:rsidR="00AA641C" w:rsidRDefault="00AA641C" w:rsidP="00A558DB">
      <w:r>
        <w:separator/>
      </w:r>
    </w:p>
  </w:endnote>
  <w:endnote w:type="continuationSeparator" w:id="0">
    <w:p w14:paraId="1E5568E8" w14:textId="77777777" w:rsidR="00AA641C" w:rsidRDefault="00AA641C" w:rsidP="00A558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Helvetica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altName w:val="Arial"/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ms Rmn">
    <w:altName w:val="Times New Roman"/>
    <w:panose1 w:val="02020603040505020304"/>
    <w:charset w:val="4D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FCF001" w14:textId="77777777" w:rsidR="005E3EEB" w:rsidRPr="00C36513" w:rsidRDefault="005E3EEB" w:rsidP="00C36513">
    <w:pPr>
      <w:autoSpaceDE w:val="0"/>
      <w:autoSpaceDN w:val="0"/>
      <w:adjustRightInd w:val="0"/>
      <w:rPr>
        <w:rFonts w:ascii="Calibri" w:hAnsi="Calibri" w:cs="Calibri"/>
        <w:color w:val="0000FF"/>
        <w:sz w:val="22"/>
        <w:szCs w:val="22"/>
      </w:rPr>
    </w:pPr>
    <w:r w:rsidRPr="001C5C3A">
      <w:rPr>
        <w:rFonts w:ascii="Calibri" w:hAnsi="Calibri" w:cs="Calibri"/>
        <w:color w:val="0000FF"/>
        <w:sz w:val="22"/>
        <w:szCs w:val="22"/>
      </w:rPr>
      <w:t>© Copyright IBM Corporation, 2012, 201</w:t>
    </w:r>
    <w:r>
      <w:rPr>
        <w:rFonts w:ascii="Calibri" w:hAnsi="Calibri" w:cs="Calibri"/>
        <w:color w:val="0000FF"/>
        <w:sz w:val="22"/>
        <w:szCs w:val="22"/>
      </w:rPr>
      <w:t>4</w:t>
    </w:r>
    <w:r w:rsidR="00137AF8">
      <w:rPr>
        <w:rFonts w:ascii="Calibri" w:hAnsi="Calibri" w:cs="Calibri"/>
        <w:color w:val="0000FF"/>
        <w:sz w:val="22"/>
        <w:szCs w:val="22"/>
      </w:rPr>
      <w:t>, 2016</w:t>
    </w:r>
    <w:r w:rsidRPr="001C5C3A">
      <w:rPr>
        <w:rFonts w:ascii="Calibri" w:hAnsi="Calibri" w:cs="Calibri"/>
        <w:color w:val="0000FF"/>
        <w:sz w:val="22"/>
        <w:szCs w:val="22"/>
      </w:rPr>
      <w:t>. All rights reserved.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DB4213" w14:textId="77777777" w:rsidR="00AA641C" w:rsidRDefault="00AA641C" w:rsidP="00A558DB">
      <w:r>
        <w:separator/>
      </w:r>
    </w:p>
  </w:footnote>
  <w:footnote w:type="continuationSeparator" w:id="0">
    <w:p w14:paraId="3A29C6B2" w14:textId="77777777" w:rsidR="00AA641C" w:rsidRDefault="00AA641C" w:rsidP="00A558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CellSpacing w:w="15" w:type="dxa"/>
      <w:tblCellMar>
        <w:top w:w="15" w:type="dxa"/>
        <w:left w:w="15" w:type="dxa"/>
        <w:bottom w:w="15" w:type="dxa"/>
        <w:right w:w="15" w:type="dxa"/>
      </w:tblCellMar>
      <w:tblLook w:val="00A0" w:firstRow="1" w:lastRow="0" w:firstColumn="1" w:lastColumn="0" w:noHBand="0" w:noVBand="0"/>
    </w:tblPr>
    <w:tblGrid>
      <w:gridCol w:w="96"/>
    </w:tblGrid>
    <w:tr w:rsidR="005E3EEB" w:rsidRPr="00A558DB" w14:paraId="7012507B" w14:textId="77777777" w:rsidTr="00A558DB">
      <w:trPr>
        <w:tblCellSpacing w:w="15" w:type="dxa"/>
      </w:trPr>
      <w:tc>
        <w:tcPr>
          <w:tcW w:w="0" w:type="auto"/>
        </w:tcPr>
        <w:p w14:paraId="2656EEC2" w14:textId="77777777" w:rsidR="005E3EEB" w:rsidRPr="00A558DB" w:rsidRDefault="005E3EEB" w:rsidP="00A558DB">
          <w:pPr>
            <w:rPr>
              <w:rFonts w:ascii="Segoe UI" w:hAnsi="Segoe UI" w:cs="Segoe UI"/>
              <w:sz w:val="18"/>
              <w:szCs w:val="18"/>
            </w:rPr>
          </w:pPr>
        </w:p>
      </w:tc>
    </w:tr>
  </w:tbl>
  <w:p w14:paraId="09A66DE1" w14:textId="77777777" w:rsidR="005E3EEB" w:rsidRPr="00A558DB" w:rsidRDefault="005E3EEB" w:rsidP="00A558DB">
    <w:pPr>
      <w:rPr>
        <w:rFonts w:eastAsia="Times New Roman"/>
        <w:sz w:val="24"/>
        <w:szCs w:val="24"/>
      </w:rPr>
    </w:pPr>
  </w:p>
  <w:p w14:paraId="50D2197E" w14:textId="77777777" w:rsidR="005E3EEB" w:rsidRDefault="005E3EE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2542CFA"/>
    <w:multiLevelType w:val="hybridMultilevel"/>
    <w:tmpl w:val="37CA9B50"/>
    <w:lvl w:ilvl="0" w:tplc="6FACB39E">
      <w:start w:val="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881AF8"/>
    <w:multiLevelType w:val="hybridMultilevel"/>
    <w:tmpl w:val="9602522E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51F"/>
    <w:rsid w:val="00011FE3"/>
    <w:rsid w:val="00026EB2"/>
    <w:rsid w:val="00042CB0"/>
    <w:rsid w:val="0006356C"/>
    <w:rsid w:val="00064E42"/>
    <w:rsid w:val="000A17EC"/>
    <w:rsid w:val="000A2F93"/>
    <w:rsid w:val="000A754A"/>
    <w:rsid w:val="000A775B"/>
    <w:rsid w:val="000B2012"/>
    <w:rsid w:val="000B448B"/>
    <w:rsid w:val="000B4CCA"/>
    <w:rsid w:val="000B565C"/>
    <w:rsid w:val="000C131B"/>
    <w:rsid w:val="000C3FF9"/>
    <w:rsid w:val="000C4C6B"/>
    <w:rsid w:val="000C5415"/>
    <w:rsid w:val="000D0191"/>
    <w:rsid w:val="000D6F68"/>
    <w:rsid w:val="000E1E09"/>
    <w:rsid w:val="000E43B4"/>
    <w:rsid w:val="000E4FED"/>
    <w:rsid w:val="00103843"/>
    <w:rsid w:val="001054CE"/>
    <w:rsid w:val="00123B3E"/>
    <w:rsid w:val="00127976"/>
    <w:rsid w:val="00133DC2"/>
    <w:rsid w:val="00137AF8"/>
    <w:rsid w:val="00157E1C"/>
    <w:rsid w:val="00163896"/>
    <w:rsid w:val="00164720"/>
    <w:rsid w:val="00167FEB"/>
    <w:rsid w:val="0017451F"/>
    <w:rsid w:val="00184F52"/>
    <w:rsid w:val="001962CA"/>
    <w:rsid w:val="00196DEC"/>
    <w:rsid w:val="001A559B"/>
    <w:rsid w:val="001B4F33"/>
    <w:rsid w:val="001C5C3A"/>
    <w:rsid w:val="001E6573"/>
    <w:rsid w:val="001E6C96"/>
    <w:rsid w:val="001F3026"/>
    <w:rsid w:val="001F7518"/>
    <w:rsid w:val="0020050C"/>
    <w:rsid w:val="00205364"/>
    <w:rsid w:val="00220674"/>
    <w:rsid w:val="00225FF8"/>
    <w:rsid w:val="00233020"/>
    <w:rsid w:val="002332DB"/>
    <w:rsid w:val="0024518E"/>
    <w:rsid w:val="0024538F"/>
    <w:rsid w:val="00260AA2"/>
    <w:rsid w:val="002714E8"/>
    <w:rsid w:val="002771D0"/>
    <w:rsid w:val="002A0F3D"/>
    <w:rsid w:val="002A3FD5"/>
    <w:rsid w:val="002A555B"/>
    <w:rsid w:val="002C0A28"/>
    <w:rsid w:val="002C7DDA"/>
    <w:rsid w:val="002D68C5"/>
    <w:rsid w:val="002D6F03"/>
    <w:rsid w:val="002F227D"/>
    <w:rsid w:val="002F68D3"/>
    <w:rsid w:val="00302309"/>
    <w:rsid w:val="003023D8"/>
    <w:rsid w:val="0030302F"/>
    <w:rsid w:val="003047B3"/>
    <w:rsid w:val="00317246"/>
    <w:rsid w:val="00320A98"/>
    <w:rsid w:val="00320CD3"/>
    <w:rsid w:val="00321A00"/>
    <w:rsid w:val="00323898"/>
    <w:rsid w:val="00331BD9"/>
    <w:rsid w:val="0033272A"/>
    <w:rsid w:val="00332F4C"/>
    <w:rsid w:val="00333809"/>
    <w:rsid w:val="00350702"/>
    <w:rsid w:val="0035114B"/>
    <w:rsid w:val="00353268"/>
    <w:rsid w:val="0035504D"/>
    <w:rsid w:val="0035594C"/>
    <w:rsid w:val="0036611F"/>
    <w:rsid w:val="0038168B"/>
    <w:rsid w:val="00391AE5"/>
    <w:rsid w:val="003A60C7"/>
    <w:rsid w:val="003B748B"/>
    <w:rsid w:val="003B7938"/>
    <w:rsid w:val="003D06CA"/>
    <w:rsid w:val="003D108A"/>
    <w:rsid w:val="003D2249"/>
    <w:rsid w:val="003D5507"/>
    <w:rsid w:val="003F6346"/>
    <w:rsid w:val="004005F5"/>
    <w:rsid w:val="00413BCA"/>
    <w:rsid w:val="00415452"/>
    <w:rsid w:val="00420D09"/>
    <w:rsid w:val="004243B0"/>
    <w:rsid w:val="00433BCB"/>
    <w:rsid w:val="00436925"/>
    <w:rsid w:val="00440AE2"/>
    <w:rsid w:val="00447FBE"/>
    <w:rsid w:val="004613E5"/>
    <w:rsid w:val="004659A0"/>
    <w:rsid w:val="00471CCD"/>
    <w:rsid w:val="00483029"/>
    <w:rsid w:val="0048389D"/>
    <w:rsid w:val="00491FCA"/>
    <w:rsid w:val="00497EC5"/>
    <w:rsid w:val="004A5287"/>
    <w:rsid w:val="004B0271"/>
    <w:rsid w:val="004B0E4B"/>
    <w:rsid w:val="004B2E4E"/>
    <w:rsid w:val="004B2EEE"/>
    <w:rsid w:val="004B49D6"/>
    <w:rsid w:val="004C4406"/>
    <w:rsid w:val="004D03FC"/>
    <w:rsid w:val="004D26D8"/>
    <w:rsid w:val="004D7F3D"/>
    <w:rsid w:val="004E43C3"/>
    <w:rsid w:val="004F54E7"/>
    <w:rsid w:val="004F7F9D"/>
    <w:rsid w:val="00500787"/>
    <w:rsid w:val="00502BCC"/>
    <w:rsid w:val="0051645F"/>
    <w:rsid w:val="00523DB9"/>
    <w:rsid w:val="00526F11"/>
    <w:rsid w:val="00560313"/>
    <w:rsid w:val="00561DE1"/>
    <w:rsid w:val="0057026C"/>
    <w:rsid w:val="005759F3"/>
    <w:rsid w:val="005800C4"/>
    <w:rsid w:val="0058660D"/>
    <w:rsid w:val="0059175E"/>
    <w:rsid w:val="005A0735"/>
    <w:rsid w:val="005B0DA8"/>
    <w:rsid w:val="005B4DB8"/>
    <w:rsid w:val="005C334B"/>
    <w:rsid w:val="005C6219"/>
    <w:rsid w:val="005D0F55"/>
    <w:rsid w:val="005D2EAF"/>
    <w:rsid w:val="005D691F"/>
    <w:rsid w:val="005E1719"/>
    <w:rsid w:val="005E3EEB"/>
    <w:rsid w:val="005F02B3"/>
    <w:rsid w:val="005F3F2F"/>
    <w:rsid w:val="005F5684"/>
    <w:rsid w:val="00612FAD"/>
    <w:rsid w:val="006158C5"/>
    <w:rsid w:val="00620E2B"/>
    <w:rsid w:val="00633D6C"/>
    <w:rsid w:val="006373A5"/>
    <w:rsid w:val="006469B5"/>
    <w:rsid w:val="006514FC"/>
    <w:rsid w:val="0066160C"/>
    <w:rsid w:val="006627A6"/>
    <w:rsid w:val="00665CB4"/>
    <w:rsid w:val="00672F6E"/>
    <w:rsid w:val="0067572D"/>
    <w:rsid w:val="0067642B"/>
    <w:rsid w:val="00676A18"/>
    <w:rsid w:val="006B30B7"/>
    <w:rsid w:val="006C175F"/>
    <w:rsid w:val="006C1C19"/>
    <w:rsid w:val="006D4EB7"/>
    <w:rsid w:val="006D5061"/>
    <w:rsid w:val="006D7214"/>
    <w:rsid w:val="006D7821"/>
    <w:rsid w:val="006E0735"/>
    <w:rsid w:val="006E1F11"/>
    <w:rsid w:val="006E462E"/>
    <w:rsid w:val="006E474A"/>
    <w:rsid w:val="006E674E"/>
    <w:rsid w:val="006E7A22"/>
    <w:rsid w:val="006F0AFD"/>
    <w:rsid w:val="006F4ECC"/>
    <w:rsid w:val="00700D7C"/>
    <w:rsid w:val="00705B31"/>
    <w:rsid w:val="0071403A"/>
    <w:rsid w:val="0071680A"/>
    <w:rsid w:val="0072757F"/>
    <w:rsid w:val="00732EFD"/>
    <w:rsid w:val="00736063"/>
    <w:rsid w:val="00737340"/>
    <w:rsid w:val="007425CB"/>
    <w:rsid w:val="007556C0"/>
    <w:rsid w:val="00755896"/>
    <w:rsid w:val="00776915"/>
    <w:rsid w:val="00787C96"/>
    <w:rsid w:val="0079155D"/>
    <w:rsid w:val="00792C4C"/>
    <w:rsid w:val="007A1E33"/>
    <w:rsid w:val="007B3202"/>
    <w:rsid w:val="007B3253"/>
    <w:rsid w:val="007B5342"/>
    <w:rsid w:val="007C0704"/>
    <w:rsid w:val="007C2698"/>
    <w:rsid w:val="007C55C7"/>
    <w:rsid w:val="007D08AA"/>
    <w:rsid w:val="007E289A"/>
    <w:rsid w:val="007F4DD0"/>
    <w:rsid w:val="007F745D"/>
    <w:rsid w:val="008061A9"/>
    <w:rsid w:val="00810A05"/>
    <w:rsid w:val="00811C12"/>
    <w:rsid w:val="00814982"/>
    <w:rsid w:val="008273AC"/>
    <w:rsid w:val="00832635"/>
    <w:rsid w:val="00834547"/>
    <w:rsid w:val="00840D98"/>
    <w:rsid w:val="0085793C"/>
    <w:rsid w:val="00861786"/>
    <w:rsid w:val="00866220"/>
    <w:rsid w:val="00874036"/>
    <w:rsid w:val="008774E0"/>
    <w:rsid w:val="00877898"/>
    <w:rsid w:val="008A0801"/>
    <w:rsid w:val="008A4308"/>
    <w:rsid w:val="008A7E24"/>
    <w:rsid w:val="008B40AF"/>
    <w:rsid w:val="008B4DAD"/>
    <w:rsid w:val="008C131C"/>
    <w:rsid w:val="008C2CB5"/>
    <w:rsid w:val="008D5DBA"/>
    <w:rsid w:val="008E137E"/>
    <w:rsid w:val="009117A1"/>
    <w:rsid w:val="009157F4"/>
    <w:rsid w:val="00932C2B"/>
    <w:rsid w:val="009513AF"/>
    <w:rsid w:val="00955BCA"/>
    <w:rsid w:val="00963B43"/>
    <w:rsid w:val="00975100"/>
    <w:rsid w:val="00980DBD"/>
    <w:rsid w:val="00983A2B"/>
    <w:rsid w:val="00986D33"/>
    <w:rsid w:val="0099117C"/>
    <w:rsid w:val="00994CA1"/>
    <w:rsid w:val="00996F56"/>
    <w:rsid w:val="009A7062"/>
    <w:rsid w:val="009B162F"/>
    <w:rsid w:val="009B2746"/>
    <w:rsid w:val="009B4B9C"/>
    <w:rsid w:val="009C2B3B"/>
    <w:rsid w:val="009C4F8B"/>
    <w:rsid w:val="009C63EC"/>
    <w:rsid w:val="009E0B40"/>
    <w:rsid w:val="009E458B"/>
    <w:rsid w:val="00A02331"/>
    <w:rsid w:val="00A0755A"/>
    <w:rsid w:val="00A12FA7"/>
    <w:rsid w:val="00A135AD"/>
    <w:rsid w:val="00A16C20"/>
    <w:rsid w:val="00A21A41"/>
    <w:rsid w:val="00A3630B"/>
    <w:rsid w:val="00A54699"/>
    <w:rsid w:val="00A558DB"/>
    <w:rsid w:val="00A573DC"/>
    <w:rsid w:val="00A74F3D"/>
    <w:rsid w:val="00A83F3A"/>
    <w:rsid w:val="00AA1DCC"/>
    <w:rsid w:val="00AA3656"/>
    <w:rsid w:val="00AA61F4"/>
    <w:rsid w:val="00AA641C"/>
    <w:rsid w:val="00AC0427"/>
    <w:rsid w:val="00AC3E39"/>
    <w:rsid w:val="00AD539B"/>
    <w:rsid w:val="00AD79F2"/>
    <w:rsid w:val="00AE556C"/>
    <w:rsid w:val="00AE6A44"/>
    <w:rsid w:val="00AF0F61"/>
    <w:rsid w:val="00AF6F17"/>
    <w:rsid w:val="00B07B83"/>
    <w:rsid w:val="00B15B1C"/>
    <w:rsid w:val="00B16F72"/>
    <w:rsid w:val="00B36FF3"/>
    <w:rsid w:val="00B370DB"/>
    <w:rsid w:val="00B42786"/>
    <w:rsid w:val="00B46ADB"/>
    <w:rsid w:val="00B52EAC"/>
    <w:rsid w:val="00B54DED"/>
    <w:rsid w:val="00B610B7"/>
    <w:rsid w:val="00B747FE"/>
    <w:rsid w:val="00B76DEB"/>
    <w:rsid w:val="00B803CA"/>
    <w:rsid w:val="00B82FBF"/>
    <w:rsid w:val="00B8765A"/>
    <w:rsid w:val="00B9474D"/>
    <w:rsid w:val="00B965B9"/>
    <w:rsid w:val="00BB2E9A"/>
    <w:rsid w:val="00BC0CCB"/>
    <w:rsid w:val="00BC1B30"/>
    <w:rsid w:val="00BE6545"/>
    <w:rsid w:val="00C049DA"/>
    <w:rsid w:val="00C05CB6"/>
    <w:rsid w:val="00C06752"/>
    <w:rsid w:val="00C11075"/>
    <w:rsid w:val="00C13950"/>
    <w:rsid w:val="00C32E8C"/>
    <w:rsid w:val="00C334DC"/>
    <w:rsid w:val="00C36513"/>
    <w:rsid w:val="00C37D01"/>
    <w:rsid w:val="00C42772"/>
    <w:rsid w:val="00C51EB2"/>
    <w:rsid w:val="00C76173"/>
    <w:rsid w:val="00C7621C"/>
    <w:rsid w:val="00C85F3A"/>
    <w:rsid w:val="00CA0E5F"/>
    <w:rsid w:val="00CB30DA"/>
    <w:rsid w:val="00CB348D"/>
    <w:rsid w:val="00CB7E74"/>
    <w:rsid w:val="00CC36DF"/>
    <w:rsid w:val="00CD215F"/>
    <w:rsid w:val="00CD3A9D"/>
    <w:rsid w:val="00CE0E6C"/>
    <w:rsid w:val="00CE17F2"/>
    <w:rsid w:val="00CE6661"/>
    <w:rsid w:val="00D048F6"/>
    <w:rsid w:val="00D107C6"/>
    <w:rsid w:val="00D24046"/>
    <w:rsid w:val="00D246D2"/>
    <w:rsid w:val="00D43899"/>
    <w:rsid w:val="00D438EA"/>
    <w:rsid w:val="00D46B16"/>
    <w:rsid w:val="00D479A3"/>
    <w:rsid w:val="00D536BC"/>
    <w:rsid w:val="00D56BAC"/>
    <w:rsid w:val="00D653A9"/>
    <w:rsid w:val="00D70AA6"/>
    <w:rsid w:val="00D75159"/>
    <w:rsid w:val="00D91679"/>
    <w:rsid w:val="00D939D8"/>
    <w:rsid w:val="00D93F92"/>
    <w:rsid w:val="00DB1FC0"/>
    <w:rsid w:val="00DD7F68"/>
    <w:rsid w:val="00DE5687"/>
    <w:rsid w:val="00DF0E77"/>
    <w:rsid w:val="00DF186E"/>
    <w:rsid w:val="00DF5B7E"/>
    <w:rsid w:val="00DF7E3E"/>
    <w:rsid w:val="00E0729A"/>
    <w:rsid w:val="00E10F0D"/>
    <w:rsid w:val="00E11D5D"/>
    <w:rsid w:val="00E27B8D"/>
    <w:rsid w:val="00E370C1"/>
    <w:rsid w:val="00E42553"/>
    <w:rsid w:val="00E45498"/>
    <w:rsid w:val="00E57371"/>
    <w:rsid w:val="00E75B72"/>
    <w:rsid w:val="00E80592"/>
    <w:rsid w:val="00E860C8"/>
    <w:rsid w:val="00E86A86"/>
    <w:rsid w:val="00E87111"/>
    <w:rsid w:val="00E94333"/>
    <w:rsid w:val="00E94F78"/>
    <w:rsid w:val="00E9634F"/>
    <w:rsid w:val="00EC1CC4"/>
    <w:rsid w:val="00EC2529"/>
    <w:rsid w:val="00ED2188"/>
    <w:rsid w:val="00EF55B3"/>
    <w:rsid w:val="00EF61EC"/>
    <w:rsid w:val="00F11C92"/>
    <w:rsid w:val="00F17B32"/>
    <w:rsid w:val="00F34AB7"/>
    <w:rsid w:val="00F61C62"/>
    <w:rsid w:val="00F6327D"/>
    <w:rsid w:val="00F67798"/>
    <w:rsid w:val="00F70D90"/>
    <w:rsid w:val="00F7519B"/>
    <w:rsid w:val="00F77051"/>
    <w:rsid w:val="00F817FD"/>
    <w:rsid w:val="00F858B2"/>
    <w:rsid w:val="00F859FB"/>
    <w:rsid w:val="00F86927"/>
    <w:rsid w:val="00F96276"/>
    <w:rsid w:val="00F979B2"/>
    <w:rsid w:val="00FB5299"/>
    <w:rsid w:val="00FB5A71"/>
    <w:rsid w:val="00FB6838"/>
    <w:rsid w:val="00FC0942"/>
    <w:rsid w:val="00FC198B"/>
    <w:rsid w:val="00FD2EBE"/>
    <w:rsid w:val="00FD5A1D"/>
    <w:rsid w:val="00FD7A13"/>
    <w:rsid w:val="00FE35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35A4D7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7451F"/>
    <w:rPr>
      <w:rFonts w:ascii="Times New Roman" w:eastAsia="MS Mincho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ocTitle">
    <w:name w:val="Doc_Title"/>
    <w:basedOn w:val="Normal"/>
    <w:uiPriority w:val="99"/>
    <w:rsid w:val="0017451F"/>
    <w:pPr>
      <w:tabs>
        <w:tab w:val="left" w:pos="1170"/>
        <w:tab w:val="left" w:pos="1440"/>
        <w:tab w:val="left" w:pos="1584"/>
      </w:tabs>
      <w:spacing w:after="240" w:line="240" w:lineRule="atLeast"/>
      <w:ind w:left="-432"/>
      <w:jc w:val="right"/>
    </w:pPr>
    <w:rPr>
      <w:rFonts w:ascii="Helvetica" w:hAnsi="Helvetica"/>
      <w:b/>
      <w:i/>
      <w:sz w:val="48"/>
    </w:rPr>
  </w:style>
  <w:style w:type="paragraph" w:styleId="BalloonText">
    <w:name w:val="Balloon Text"/>
    <w:basedOn w:val="Normal"/>
    <w:link w:val="BalloonTextChar"/>
    <w:uiPriority w:val="99"/>
    <w:semiHidden/>
    <w:rsid w:val="001745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17451F"/>
    <w:rPr>
      <w:rFonts w:ascii="Tahoma" w:eastAsia="MS Mincho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1745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A558DB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uiPriority w:val="99"/>
    <w:locked/>
    <w:rsid w:val="00A558DB"/>
    <w:rPr>
      <w:rFonts w:ascii="Times New Roman" w:eastAsia="MS Mincho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99"/>
    <w:qFormat/>
    <w:rsid w:val="004F54E7"/>
    <w:pPr>
      <w:ind w:left="720"/>
      <w:contextualSpacing/>
    </w:pPr>
  </w:style>
  <w:style w:type="character" w:styleId="Hyperlink">
    <w:name w:val="Hyperlink"/>
    <w:uiPriority w:val="99"/>
    <w:rsid w:val="000B44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61C62"/>
    <w:rPr>
      <w:color w:val="800080" w:themeColor="followedHyperlink"/>
      <w:u w:val="single"/>
    </w:rPr>
  </w:style>
  <w:style w:type="character" w:styleId="Strong">
    <w:name w:val="Strong"/>
    <w:basedOn w:val="DefaultParagraphFont"/>
    <w:uiPriority w:val="22"/>
    <w:qFormat/>
    <w:locked/>
    <w:rsid w:val="005B4DB8"/>
    <w:rPr>
      <w:b/>
      <w:bCs/>
    </w:rPr>
  </w:style>
  <w:style w:type="table" w:styleId="GridTable4-Accent2">
    <w:name w:val="Grid Table 4 Accent 2"/>
    <w:basedOn w:val="TableNormal"/>
    <w:uiPriority w:val="49"/>
    <w:rsid w:val="00E94333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character" w:customStyle="1" w:styleId="btd">
    <w:name w:val="btd"/>
    <w:basedOn w:val="DefaultParagraphFont"/>
    <w:rsid w:val="00975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93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5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9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7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4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8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96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0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yperlink" Target="https://www.ibm.com/support/knowledgecenter/SSYQ72_10.1.1/com.ibm.help.empinstall_planning.doc/R_SuiteCompatibilityMatrix101124.html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ibm.com/support/knowledgecenter/SSYQ72_10.1.1/com.ibm.help.ssm_home.doc/ssm_product_welcome.html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bm.com/support/fixcentral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ibm.com/support/fixcentra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-01.ibm.com/software/howtobuy/passportadvantage/" TargetMode="External"/><Relationship Id="rId14" Type="http://schemas.openxmlformats.org/officeDocument/2006/relationships/hyperlink" Target="https://www.ibm.com/support/knowledgecenter/SSYQ72_10.1.1/com.ibm.help.ssm_releasenotes.doc/c_SSM_introduction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62B95D-A8BD-4669-B9BA-FA46F5065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3</Pages>
  <Words>416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IBM</Company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Bala Gazula</dc:creator>
  <cp:keywords/>
  <dc:description/>
  <cp:lastModifiedBy>Deepak Behera</cp:lastModifiedBy>
  <cp:revision>95</cp:revision>
  <dcterms:created xsi:type="dcterms:W3CDTF">2017-08-31T07:07:00Z</dcterms:created>
  <dcterms:modified xsi:type="dcterms:W3CDTF">2018-08-29T09:21:00Z</dcterms:modified>
</cp:coreProperties>
</file>