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646A1" w14:textId="77777777"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50B05871" w14:textId="77777777"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6954E86D" wp14:editId="79659EC5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14:paraId="65B2D2AE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183DCB9B" w14:textId="633E32F2"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0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7E05B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_iFix12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14:paraId="15B8CA02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6D2A7A40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11A0ED0D" w14:textId="77777777"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14:paraId="156AA847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18493794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4BE5DE7D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C954451" w14:textId="77777777"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14:paraId="18DC6EF0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37C65EE5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50334C62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B063998" w14:textId="38B4D668" w:rsidR="006F4ECC" w:rsidRPr="00B16F72" w:rsidRDefault="005A06AA" w:rsidP="005A06A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10.0.0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D65334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7E05B9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6F4ECC" w:rsidRPr="00633D6C" w14:paraId="5CCDE873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5B98A42F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9DF855B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F0BA536" w14:textId="669ABFDF" w:rsidR="006F4ECC" w:rsidRPr="00C7591D" w:rsidRDefault="007E05B9" w:rsidP="0017451F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DB</w:t>
            </w:r>
          </w:p>
        </w:tc>
      </w:tr>
      <w:tr w:rsidR="006F4ECC" w:rsidRPr="00633D6C" w14:paraId="4DEA90BD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625B69D4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67F7D2FD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966201C" w14:textId="77777777" w:rsidR="006F4ECC" w:rsidRPr="00C7591D" w:rsidRDefault="00D836E6" w:rsidP="001C5C3A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Suite QA</w:t>
            </w:r>
          </w:p>
        </w:tc>
      </w:tr>
    </w:tbl>
    <w:p w14:paraId="3ABF6FD6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D324207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6C1BE5D9" w14:textId="77777777"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14:paraId="59C1C088" w14:textId="77777777" w:rsidTr="00DB000B">
        <w:trPr>
          <w:trHeight w:val="348"/>
        </w:trPr>
        <w:tc>
          <w:tcPr>
            <w:tcW w:w="2460" w:type="dxa"/>
          </w:tcPr>
          <w:p w14:paraId="054DB7D6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14:paraId="119245EA" w14:textId="16DB8AC4" w:rsidR="006F4ECC" w:rsidRPr="00C7591D" w:rsidRDefault="007E05B9" w:rsidP="00A558DB">
            <w:pP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EMP_SSMP_10.0.0.3_iFix12</w:t>
            </w:r>
            <w:r w:rsidR="00EA4B66" w:rsidRPr="00EA4B66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_1</w:t>
            </w:r>
            <w:r w:rsidR="00E7105B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50" w:type="dxa"/>
          </w:tcPr>
          <w:p w14:paraId="3390EC30" w14:textId="77777777"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14:paraId="09AB24BB" w14:textId="77777777" w:rsidTr="00DB000B">
        <w:trPr>
          <w:trHeight w:val="92"/>
        </w:trPr>
        <w:tc>
          <w:tcPr>
            <w:tcW w:w="2460" w:type="dxa"/>
          </w:tcPr>
          <w:p w14:paraId="79040C1A" w14:textId="77777777"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14:paraId="2B513476" w14:textId="77777777" w:rsidR="00DB000B" w:rsidRPr="00DB000B" w:rsidRDefault="00BB6C12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655665D0" w14:textId="77777777" w:rsidR="00702600" w:rsidRDefault="00932BAD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EMP_SSM_10.0.0.0_7</w:t>
            </w:r>
            <w:r w:rsidR="00196C64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.zip</w:t>
            </w:r>
          </w:p>
          <w:p w14:paraId="3E8CB953" w14:textId="77777777" w:rsidR="00D34019" w:rsidRPr="00C7591D" w:rsidRDefault="00D34019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  <w:p w14:paraId="37AE7A0C" w14:textId="77777777" w:rsidR="00196C64" w:rsidRDefault="00BB6C12" w:rsidP="00196C64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196C64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B8CF07B" w14:textId="672C98E6" w:rsidR="00702600" w:rsidRPr="00C7591D" w:rsidRDefault="00196C64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196C64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EMP_SSMP_10.0.0.3_</w:t>
            </w:r>
            <w:r w:rsidR="00A01D79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.zip</w:t>
            </w:r>
          </w:p>
          <w:p w14:paraId="28F27B85" w14:textId="7883D649" w:rsidR="00702600" w:rsidRPr="002F5DF4" w:rsidRDefault="00E7105B" w:rsidP="00AA09A4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EMP_SSMP_10.0.0.3_iFix12_15</w:t>
            </w:r>
            <w:r w:rsidR="00D836E6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.zip</w:t>
            </w:r>
          </w:p>
        </w:tc>
        <w:tc>
          <w:tcPr>
            <w:tcW w:w="4950" w:type="dxa"/>
          </w:tcPr>
          <w:p w14:paraId="7979792D" w14:textId="77777777" w:rsidR="00196C64" w:rsidRDefault="00196C64" w:rsidP="00196C64"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If PGM is installed then, include this </w:t>
            </w:r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pgm.fp</w:t>
            </w:r>
            <w:proofErr w:type="spellEnd"/>
            <w:proofErr w:type="gramEnd"/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file.</w:t>
            </w:r>
          </w:p>
          <w:p w14:paraId="442AA7B6" w14:textId="77777777" w:rsidR="00196C64" w:rsidRDefault="00BB6C12" w:rsidP="00196C64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196C64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370CE67" w14:textId="625E20F9" w:rsidR="00932BAD" w:rsidRPr="002F5DF4" w:rsidRDefault="00E7105B" w:rsidP="00D34019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EMP_PGM_10.0.0.3_iFix12_15</w:t>
            </w:r>
            <w:r w:rsidR="00196C64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6F4ECC" w:rsidRPr="00633D6C" w14:paraId="7BB9CB84" w14:textId="77777777" w:rsidTr="00DB000B">
        <w:trPr>
          <w:trHeight w:val="92"/>
        </w:trPr>
        <w:tc>
          <w:tcPr>
            <w:tcW w:w="2460" w:type="dxa"/>
          </w:tcPr>
          <w:p w14:paraId="05ACCF36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14:paraId="519603B6" w14:textId="77777777" w:rsidR="006F4ECC" w:rsidRPr="002F5DF4" w:rsidRDefault="002823A4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4950" w:type="dxa"/>
          </w:tcPr>
          <w:p w14:paraId="031946B2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14:paraId="71E9A09B" w14:textId="77777777" w:rsidTr="00DB000B">
        <w:trPr>
          <w:trHeight w:val="92"/>
        </w:trPr>
        <w:tc>
          <w:tcPr>
            <w:tcW w:w="2460" w:type="dxa"/>
          </w:tcPr>
          <w:p w14:paraId="21C17148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14:paraId="152397F9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14:paraId="1189E382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14:paraId="2AC344DC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0356ACA" w14:textId="77777777" w:rsidR="002823A4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3C4E8A12" w14:textId="77777777" w:rsidR="002823A4" w:rsidRDefault="002823A4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C13A158" w14:textId="77777777" w:rsidR="002823A4" w:rsidRPr="004D31C2" w:rsidRDefault="002823A4" w:rsidP="002823A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14:paraId="0821676B" w14:textId="77777777" w:rsidR="002823A4" w:rsidRPr="004D31C2" w:rsidRDefault="002823A4" w:rsidP="002823A4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2823A4" w:rsidRPr="004D31C2" w14:paraId="1ADC50B0" w14:textId="77777777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91B10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FE837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Known issues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2823A4" w:rsidRPr="004D31C2" w14:paraId="3F35E1BE" w14:textId="77777777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2717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844D8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2823A4" w:rsidRPr="004D31C2" w14:paraId="5AED648D" w14:textId="77777777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169C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1751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DB scripts required to fix customer data specific issues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</w:tr>
      <w:tr w:rsidR="002823A4" w:rsidRPr="004D31C2" w14:paraId="16B4762F" w14:textId="77777777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652A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E455" w14:textId="77777777"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2426B2BB" w14:textId="77777777" w:rsidR="002823A4" w:rsidRPr="004D31C2" w:rsidRDefault="002823A4" w:rsidP="002823A4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7BA3789C" w14:textId="77777777" w:rsidR="002823A4" w:rsidRPr="004D31C2" w:rsidRDefault="002823A4" w:rsidP="002823A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49570038" w14:textId="77777777" w:rsidR="002823A4" w:rsidRDefault="002823A4" w:rsidP="002823A4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29B02E73" w14:textId="77777777" w:rsidR="006F4ECC" w:rsidRPr="00633D6C" w:rsidRDefault="002823A4" w:rsidP="0017451F">
      <w:pPr>
        <w:ind w:right="1584"/>
        <w:rPr>
          <w:rFonts w:ascii="Calibri" w:hAnsi="Calibri" w:cs="Calibri"/>
          <w:sz w:val="24"/>
          <w:szCs w:val="24"/>
        </w:rPr>
      </w:pPr>
      <w:r w:rsidRPr="00633D6C">
        <w:rPr>
          <w:rFonts w:ascii="Calibri" w:hAnsi="Calibri" w:cs="Calibri"/>
          <w:sz w:val="24"/>
          <w:szCs w:val="24"/>
        </w:rPr>
        <w:t xml:space="preserve"> </w:t>
      </w:r>
    </w:p>
    <w:p w14:paraId="66F2BDE7" w14:textId="77777777"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6F4ECC" w:rsidRPr="00633D6C" w14:paraId="323F282A" w14:textId="77777777" w:rsidTr="00B16F72">
        <w:trPr>
          <w:trHeight w:val="348"/>
        </w:trPr>
        <w:tc>
          <w:tcPr>
            <w:tcW w:w="2610" w:type="dxa"/>
            <w:shd w:val="clear" w:color="auto" w:fill="C6D9F1"/>
          </w:tcPr>
          <w:p w14:paraId="096C35BE" w14:textId="77777777"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14:paraId="17565FF1" w14:textId="77777777"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14:paraId="67AB5094" w14:textId="77777777"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14:paraId="0A0FDDCB" w14:textId="77777777" w:rsidTr="00B16F72">
        <w:trPr>
          <w:trHeight w:val="348"/>
        </w:trPr>
        <w:tc>
          <w:tcPr>
            <w:tcW w:w="2610" w:type="dxa"/>
          </w:tcPr>
          <w:p w14:paraId="3BF4AA66" w14:textId="77777777"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14:paraId="3439EE69" w14:textId="77777777" w:rsidR="006F4ECC" w:rsidRPr="00C7591D" w:rsidRDefault="00932BAD" w:rsidP="0024518E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10.0.0.1_iFix7+</w:t>
            </w:r>
          </w:p>
        </w:tc>
        <w:tc>
          <w:tcPr>
            <w:tcW w:w="3870" w:type="dxa"/>
          </w:tcPr>
          <w:p w14:paraId="2D7C0671" w14:textId="77777777"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14:paraId="45B8C63A" w14:textId="77777777" w:rsidTr="00B16F72">
        <w:trPr>
          <w:trHeight w:val="348"/>
        </w:trPr>
        <w:tc>
          <w:tcPr>
            <w:tcW w:w="2610" w:type="dxa"/>
          </w:tcPr>
          <w:p w14:paraId="1DBC65D4" w14:textId="77777777"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14:paraId="5F9B2884" w14:textId="77777777"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14:paraId="5E6E3A20" w14:textId="77777777"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14:paraId="4A18B38B" w14:textId="77777777" w:rsidTr="00B16F72">
        <w:trPr>
          <w:trHeight w:val="348"/>
        </w:trPr>
        <w:tc>
          <w:tcPr>
            <w:tcW w:w="2610" w:type="dxa"/>
          </w:tcPr>
          <w:p w14:paraId="5C99686C" w14:textId="77777777"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14:paraId="0447F0C6" w14:textId="77777777"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10.0.0.0_iFix9</w:t>
            </w:r>
            <w:r w:rsidR="00196C64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14:paraId="56EC80DE" w14:textId="77777777"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14:paraId="12DE6484" w14:textId="77777777" w:rsidTr="00B16F72">
        <w:trPr>
          <w:trHeight w:val="348"/>
        </w:trPr>
        <w:tc>
          <w:tcPr>
            <w:tcW w:w="2610" w:type="dxa"/>
          </w:tcPr>
          <w:p w14:paraId="30ACAEBE" w14:textId="77777777"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14:paraId="6BB8814B" w14:textId="77777777" w:rsidR="006F4ECC" w:rsidRPr="00C7591D" w:rsidRDefault="00932BA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10.0.0.0_iFix2+</w:t>
            </w:r>
          </w:p>
        </w:tc>
        <w:tc>
          <w:tcPr>
            <w:tcW w:w="3870" w:type="dxa"/>
          </w:tcPr>
          <w:p w14:paraId="20450505" w14:textId="77777777"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14:paraId="4E50DD77" w14:textId="77777777" w:rsidTr="00B16F72">
        <w:trPr>
          <w:trHeight w:val="92"/>
        </w:trPr>
        <w:tc>
          <w:tcPr>
            <w:tcW w:w="2610" w:type="dxa"/>
          </w:tcPr>
          <w:p w14:paraId="78C2CB4E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14:paraId="63FE67BE" w14:textId="77777777" w:rsidR="006F4ECC" w:rsidRPr="00C7591D" w:rsidRDefault="00196C64">
            <w:pPr>
              <w:rPr>
                <w:color w:val="000000" w:themeColor="text1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</w:t>
            </w:r>
            <w:r w:rsidR="00932BAD"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iFix1+</w:t>
            </w:r>
          </w:p>
        </w:tc>
        <w:tc>
          <w:tcPr>
            <w:tcW w:w="3870" w:type="dxa"/>
          </w:tcPr>
          <w:p w14:paraId="31DEE055" w14:textId="77777777"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14:paraId="6DF169E0" w14:textId="77777777" w:rsidTr="00B16F72">
        <w:trPr>
          <w:trHeight w:val="92"/>
        </w:trPr>
        <w:tc>
          <w:tcPr>
            <w:tcW w:w="2610" w:type="dxa"/>
          </w:tcPr>
          <w:p w14:paraId="0F4D0E1A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14:paraId="1A22B631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14:paraId="40B438DD" w14:textId="77777777" w:rsidR="006F4ECC" w:rsidRPr="00C7591D" w:rsidRDefault="00C7591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14:paraId="5CF63F90" w14:textId="77777777" w:rsidR="00BA4F3A" w:rsidRPr="00B16F72" w:rsidRDefault="00BA4F3A" w:rsidP="00BA4F3A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14:paraId="09E33F71" w14:textId="77777777" w:rsidTr="00B16F72">
        <w:trPr>
          <w:trHeight w:val="92"/>
        </w:trPr>
        <w:tc>
          <w:tcPr>
            <w:tcW w:w="2610" w:type="dxa"/>
          </w:tcPr>
          <w:p w14:paraId="6177AC29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14:paraId="47148F6A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14:paraId="7ACEAC46" w14:textId="77777777" w:rsidR="003E7133" w:rsidRPr="00C7591D" w:rsidRDefault="008856CD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10.0.2.5</w:t>
            </w:r>
            <w:r w:rsidR="003E7133"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build.5</w:t>
            </w:r>
          </w:p>
          <w:p w14:paraId="65B3E04E" w14:textId="382CB7C0" w:rsidR="003E7133" w:rsidRPr="00C7591D" w:rsidRDefault="003E7133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CWS: </w:t>
            </w:r>
            <w:r w:rsidR="006410D1" w:rsidRPr="006410D1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emptoris_web-1.4-SNAPSHOT-50</w:t>
            </w:r>
          </w:p>
          <w:p w14:paraId="40B0F950" w14:textId="77777777" w:rsidR="007F7889" w:rsidRDefault="007F7889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appliance-template-windows-53</w:t>
            </w:r>
          </w:p>
          <w:p w14:paraId="605937E5" w14:textId="77777777" w:rsidR="006F4ECC" w:rsidRPr="00C7591D" w:rsidRDefault="007F7889" w:rsidP="003E7133">
            <w:pPr>
              <w:rPr>
                <w:color w:val="000000" w:themeColor="text1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appliance-template-linux-53</w:t>
            </w:r>
          </w:p>
        </w:tc>
        <w:tc>
          <w:tcPr>
            <w:tcW w:w="3870" w:type="dxa"/>
          </w:tcPr>
          <w:p w14:paraId="59C2311E" w14:textId="77777777"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14:paraId="6E0588F9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656497C4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F1F15D7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695B890" w14:textId="77777777" w:rsidR="006F4ECC" w:rsidRDefault="004B0E5D" w:rsidP="0017451F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</w:t>
      </w:r>
      <w:r w:rsidR="006F4ECC"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proofErr w:type="spellStart"/>
      <w:r w:rsidR="009A5B8B">
        <w:rPr>
          <w:rFonts w:ascii="Calibri" w:hAnsi="Calibri" w:cs="Calibri"/>
          <w:b/>
          <w:sz w:val="28"/>
          <w:szCs w:val="28"/>
        </w:rPr>
        <w:t>iFix</w:t>
      </w:r>
      <w:proofErr w:type="spellEnd"/>
      <w:r w:rsidR="006F4ECC"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495F4F" w:rsidRPr="00B16F72" w14:paraId="1661AA46" w14:textId="77777777" w:rsidTr="00C37380">
        <w:trPr>
          <w:trHeight w:val="348"/>
        </w:trPr>
        <w:tc>
          <w:tcPr>
            <w:tcW w:w="2430" w:type="dxa"/>
            <w:shd w:val="clear" w:color="auto" w:fill="C6D9F1"/>
          </w:tcPr>
          <w:p w14:paraId="47B38077" w14:textId="77777777" w:rsidR="00495F4F" w:rsidRPr="00B16F72" w:rsidRDefault="00495F4F" w:rsidP="00C3738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4C542C26" w14:textId="77777777" w:rsidR="00495F4F" w:rsidRPr="00B16F72" w:rsidRDefault="00495F4F" w:rsidP="00C3738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14:paraId="542E7C41" w14:textId="77777777" w:rsidR="00495F4F" w:rsidRPr="00B16F72" w:rsidRDefault="00495F4F" w:rsidP="00C37380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95F4F" w:rsidRPr="00D157CC" w14:paraId="127AFAFC" w14:textId="77777777" w:rsidTr="00C37380">
        <w:trPr>
          <w:trHeight w:val="257"/>
        </w:trPr>
        <w:tc>
          <w:tcPr>
            <w:tcW w:w="2430" w:type="dxa"/>
          </w:tcPr>
          <w:p w14:paraId="3BCDFF0B" w14:textId="77777777" w:rsidR="00495F4F" w:rsidRPr="00B16F72" w:rsidRDefault="00495F4F" w:rsidP="00C3738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14:paraId="68BE2B00" w14:textId="0488C5F9" w:rsidR="00495F4F" w:rsidRPr="00D157CC" w:rsidRDefault="00B266E5" w:rsidP="00C37380">
            <w:pPr>
              <w:tabs>
                <w:tab w:val="right" w:pos="275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66E5">
              <w:rPr>
                <w:rFonts w:asciiTheme="minorHAnsi" w:hAnsiTheme="minorHAnsi" w:cstheme="minorHAnsi"/>
                <w:sz w:val="24"/>
                <w:szCs w:val="24"/>
              </w:rPr>
              <w:t>70638</w:t>
            </w:r>
          </w:p>
        </w:tc>
        <w:tc>
          <w:tcPr>
            <w:tcW w:w="6120" w:type="dxa"/>
          </w:tcPr>
          <w:p w14:paraId="62848F51" w14:textId="4EF0EA56" w:rsidR="00495F4F" w:rsidRPr="00D157CC" w:rsidRDefault="00FF51E1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Analyse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PSIRT (10042) Open Source -C</w:t>
            </w:r>
            <w:r w:rsidRPr="00F71C91">
              <w:rPr>
                <w:rFonts w:ascii="Calibri" w:eastAsia="Calibri" w:hAnsi="Calibri" w:cs="Calibri"/>
                <w:sz w:val="24"/>
              </w:rPr>
              <w:t xml:space="preserve">ommons File Upload Apache </w:t>
            </w:r>
            <w:proofErr w:type="gramStart"/>
            <w:r w:rsidRPr="00F71C91">
              <w:rPr>
                <w:rFonts w:ascii="Calibri" w:eastAsia="Calibri" w:hAnsi="Calibri" w:cs="Calibri"/>
                <w:sz w:val="24"/>
              </w:rPr>
              <w:t>Vulnerabilities</w:t>
            </w:r>
            <w:r>
              <w:rPr>
                <w:rFonts w:ascii="Calibri" w:eastAsia="Calibri" w:hAnsi="Calibri" w:cs="Calibri"/>
                <w:sz w:val="24"/>
              </w:rPr>
              <w:t xml:space="preserve"> .</w:t>
            </w:r>
            <w:proofErr w:type="gramEnd"/>
          </w:p>
        </w:tc>
      </w:tr>
    </w:tbl>
    <w:p w14:paraId="78D655E2" w14:textId="77777777" w:rsidR="004B0E5D" w:rsidRPr="007C55C7" w:rsidRDefault="004B0E5D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BDDCE82" w14:textId="17C3FCAE" w:rsidR="00325DFB" w:rsidRDefault="004B0E5D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</w:t>
      </w:r>
      <w:r w:rsidR="000862F3" w:rsidRPr="000862F3">
        <w:rPr>
          <w:rFonts w:ascii="Calibri" w:hAnsi="Calibri" w:cs="Calibri"/>
          <w:b/>
          <w:sz w:val="28"/>
          <w:szCs w:val="28"/>
        </w:rPr>
        <w:t xml:space="preserve">Issues Resolved in Previous </w:t>
      </w:r>
      <w:proofErr w:type="spellStart"/>
      <w:r w:rsidR="000862F3" w:rsidRPr="000862F3">
        <w:rPr>
          <w:rFonts w:ascii="Calibri" w:hAnsi="Calibri" w:cs="Calibri"/>
          <w:b/>
          <w:sz w:val="28"/>
          <w:szCs w:val="28"/>
        </w:rPr>
        <w:t>iFixes</w:t>
      </w:r>
      <w:proofErr w:type="spellEnd"/>
      <w:r w:rsidR="000862F3" w:rsidRPr="000862F3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7B537D" w:rsidRPr="00633D6C" w14:paraId="6BD8EB62" w14:textId="77777777" w:rsidTr="00C37380">
        <w:trPr>
          <w:trHeight w:val="348"/>
        </w:trPr>
        <w:tc>
          <w:tcPr>
            <w:tcW w:w="2430" w:type="dxa"/>
            <w:shd w:val="clear" w:color="auto" w:fill="C6D9F1"/>
          </w:tcPr>
          <w:p w14:paraId="1667F0CE" w14:textId="77777777" w:rsidR="007B537D" w:rsidRPr="00B16F72" w:rsidRDefault="007B537D" w:rsidP="00C3738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2C8DBA4C" w14:textId="77777777" w:rsidR="007B537D" w:rsidRPr="00B16F72" w:rsidRDefault="007B537D" w:rsidP="00C3738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14:paraId="5430B692" w14:textId="77777777" w:rsidR="007B537D" w:rsidRPr="00B16F72" w:rsidRDefault="007B537D" w:rsidP="00C37380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7B537D" w:rsidRPr="00633D6C" w14:paraId="63B8FB4A" w14:textId="77777777" w:rsidTr="00C37380">
        <w:trPr>
          <w:trHeight w:val="257"/>
        </w:trPr>
        <w:tc>
          <w:tcPr>
            <w:tcW w:w="2430" w:type="dxa"/>
          </w:tcPr>
          <w:p w14:paraId="7BCB0177" w14:textId="77777777" w:rsidR="007B537D" w:rsidRPr="00B16F72" w:rsidRDefault="007B537D" w:rsidP="00C3738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14:paraId="36041D9B" w14:textId="77777777" w:rsidR="007B537D" w:rsidRPr="00D157CC" w:rsidRDefault="007B537D" w:rsidP="00C37380">
            <w:pPr>
              <w:tabs>
                <w:tab w:val="right" w:pos="275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63196</w:t>
            </w:r>
          </w:p>
        </w:tc>
        <w:tc>
          <w:tcPr>
            <w:tcW w:w="6120" w:type="dxa"/>
          </w:tcPr>
          <w:p w14:paraId="56F08206" w14:textId="77777777" w:rsidR="007B537D" w:rsidRPr="00D157CC" w:rsidRDefault="007B537D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</w:t>
            </w:r>
          </w:p>
        </w:tc>
      </w:tr>
    </w:tbl>
    <w:p w14:paraId="4A8D414A" w14:textId="77777777" w:rsidR="007B537D" w:rsidRDefault="007B537D" w:rsidP="007B537D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14:paraId="54C1578E" w14:textId="77777777" w:rsidR="007B537D" w:rsidRPr="000862F3" w:rsidRDefault="007B537D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sectPr w:rsidR="007B537D" w:rsidRPr="000862F3" w:rsidSect="00633D6C">
      <w:headerReference w:type="default" r:id="rId11"/>
      <w:footerReference w:type="defaul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F45DF" w14:textId="77777777" w:rsidR="00BB6C12" w:rsidRDefault="00BB6C12" w:rsidP="00A558DB">
      <w:r>
        <w:separator/>
      </w:r>
    </w:p>
  </w:endnote>
  <w:endnote w:type="continuationSeparator" w:id="0">
    <w:p w14:paraId="1C2A347C" w14:textId="77777777" w:rsidR="00BB6C12" w:rsidRDefault="00BB6C1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B4D7D" w14:textId="16693107"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FF51E1">
      <w:rPr>
        <w:rFonts w:ascii="Calibri" w:hAnsi="Calibri" w:cs="Calibri"/>
        <w:noProof/>
        <w:color w:val="0000FF"/>
        <w:sz w:val="22"/>
        <w:szCs w:val="22"/>
      </w:rPr>
      <w:t>1</w:t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20101" w14:textId="77777777" w:rsidR="00BB6C12" w:rsidRDefault="00BB6C12" w:rsidP="00A558DB">
      <w:r>
        <w:separator/>
      </w:r>
    </w:p>
  </w:footnote>
  <w:footnote w:type="continuationSeparator" w:id="0">
    <w:p w14:paraId="5979FEE9" w14:textId="77777777" w:rsidR="00BB6C12" w:rsidRDefault="00BB6C1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14:paraId="3139A355" w14:textId="77777777" w:rsidTr="00A558DB">
      <w:trPr>
        <w:tblCellSpacing w:w="15" w:type="dxa"/>
      </w:trPr>
      <w:tc>
        <w:tcPr>
          <w:tcW w:w="0" w:type="auto"/>
        </w:tcPr>
        <w:p w14:paraId="097A3B17" w14:textId="77777777"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B3BB808" w14:textId="77777777"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14:paraId="0D0FB2F5" w14:textId="77777777"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42B74"/>
    <w:rsid w:val="00065A89"/>
    <w:rsid w:val="00070D4D"/>
    <w:rsid w:val="000862F3"/>
    <w:rsid w:val="00087633"/>
    <w:rsid w:val="000D0191"/>
    <w:rsid w:val="000D0904"/>
    <w:rsid w:val="00141540"/>
    <w:rsid w:val="0017451F"/>
    <w:rsid w:val="00196C64"/>
    <w:rsid w:val="001C5C3A"/>
    <w:rsid w:val="001E6C96"/>
    <w:rsid w:val="001F0C0F"/>
    <w:rsid w:val="002046E8"/>
    <w:rsid w:val="00236466"/>
    <w:rsid w:val="0024518E"/>
    <w:rsid w:val="002823A4"/>
    <w:rsid w:val="00282D2A"/>
    <w:rsid w:val="0028686D"/>
    <w:rsid w:val="002A3FD5"/>
    <w:rsid w:val="002C0A28"/>
    <w:rsid w:val="002F5DF4"/>
    <w:rsid w:val="00302309"/>
    <w:rsid w:val="00317246"/>
    <w:rsid w:val="00325DFB"/>
    <w:rsid w:val="0036611F"/>
    <w:rsid w:val="00391AE5"/>
    <w:rsid w:val="00397288"/>
    <w:rsid w:val="003B748B"/>
    <w:rsid w:val="003D5507"/>
    <w:rsid w:val="003E7133"/>
    <w:rsid w:val="0040409F"/>
    <w:rsid w:val="00405A79"/>
    <w:rsid w:val="00415452"/>
    <w:rsid w:val="00437862"/>
    <w:rsid w:val="00476AA4"/>
    <w:rsid w:val="00485D15"/>
    <w:rsid w:val="004955ED"/>
    <w:rsid w:val="00495F4F"/>
    <w:rsid w:val="004B0E5D"/>
    <w:rsid w:val="004B2EEE"/>
    <w:rsid w:val="004C29E0"/>
    <w:rsid w:val="004D003D"/>
    <w:rsid w:val="004F7F9D"/>
    <w:rsid w:val="00500787"/>
    <w:rsid w:val="0051216C"/>
    <w:rsid w:val="00572E2B"/>
    <w:rsid w:val="00584920"/>
    <w:rsid w:val="0058660D"/>
    <w:rsid w:val="005A06AA"/>
    <w:rsid w:val="005B26EC"/>
    <w:rsid w:val="005D2EAF"/>
    <w:rsid w:val="005E1591"/>
    <w:rsid w:val="00630B0D"/>
    <w:rsid w:val="00633D6C"/>
    <w:rsid w:val="006373A5"/>
    <w:rsid w:val="006410D1"/>
    <w:rsid w:val="0067642B"/>
    <w:rsid w:val="00681744"/>
    <w:rsid w:val="006B30B7"/>
    <w:rsid w:val="006C175F"/>
    <w:rsid w:val="006E36EB"/>
    <w:rsid w:val="006F4ECC"/>
    <w:rsid w:val="00702600"/>
    <w:rsid w:val="0071680A"/>
    <w:rsid w:val="00737340"/>
    <w:rsid w:val="00787C96"/>
    <w:rsid w:val="007A1E33"/>
    <w:rsid w:val="007B537D"/>
    <w:rsid w:val="007C55C7"/>
    <w:rsid w:val="007C7EE8"/>
    <w:rsid w:val="007E05B9"/>
    <w:rsid w:val="007F7889"/>
    <w:rsid w:val="008011EA"/>
    <w:rsid w:val="00801EC1"/>
    <w:rsid w:val="008061A9"/>
    <w:rsid w:val="00814982"/>
    <w:rsid w:val="008273AC"/>
    <w:rsid w:val="00840D98"/>
    <w:rsid w:val="00866220"/>
    <w:rsid w:val="00874036"/>
    <w:rsid w:val="008856CD"/>
    <w:rsid w:val="008A513F"/>
    <w:rsid w:val="008A7E24"/>
    <w:rsid w:val="00914749"/>
    <w:rsid w:val="00932BAD"/>
    <w:rsid w:val="00961F96"/>
    <w:rsid w:val="00986D33"/>
    <w:rsid w:val="00996DCF"/>
    <w:rsid w:val="009A5B8B"/>
    <w:rsid w:val="009E7192"/>
    <w:rsid w:val="00A01D79"/>
    <w:rsid w:val="00A16B6D"/>
    <w:rsid w:val="00A558DB"/>
    <w:rsid w:val="00A83F3A"/>
    <w:rsid w:val="00AA09A4"/>
    <w:rsid w:val="00B035F6"/>
    <w:rsid w:val="00B16F72"/>
    <w:rsid w:val="00B22123"/>
    <w:rsid w:val="00B266E5"/>
    <w:rsid w:val="00B42786"/>
    <w:rsid w:val="00B82FBF"/>
    <w:rsid w:val="00B84D45"/>
    <w:rsid w:val="00BA1F88"/>
    <w:rsid w:val="00BA4F3A"/>
    <w:rsid w:val="00BB2DF5"/>
    <w:rsid w:val="00BB6C12"/>
    <w:rsid w:val="00C00375"/>
    <w:rsid w:val="00C10EA8"/>
    <w:rsid w:val="00C7591D"/>
    <w:rsid w:val="00C76173"/>
    <w:rsid w:val="00C85F3A"/>
    <w:rsid w:val="00CC15D3"/>
    <w:rsid w:val="00CC5DBB"/>
    <w:rsid w:val="00CC5E8D"/>
    <w:rsid w:val="00D048F6"/>
    <w:rsid w:val="00D24046"/>
    <w:rsid w:val="00D34019"/>
    <w:rsid w:val="00D43875"/>
    <w:rsid w:val="00D65334"/>
    <w:rsid w:val="00D836E6"/>
    <w:rsid w:val="00D93F92"/>
    <w:rsid w:val="00DB000B"/>
    <w:rsid w:val="00DB24F3"/>
    <w:rsid w:val="00DD2BA7"/>
    <w:rsid w:val="00E46736"/>
    <w:rsid w:val="00E7105B"/>
    <w:rsid w:val="00E75B72"/>
    <w:rsid w:val="00EA4B66"/>
    <w:rsid w:val="00EB7367"/>
    <w:rsid w:val="00EE0056"/>
    <w:rsid w:val="00EF55B3"/>
    <w:rsid w:val="00F11C92"/>
    <w:rsid w:val="00F2239A"/>
    <w:rsid w:val="00F423CC"/>
    <w:rsid w:val="00F60C17"/>
    <w:rsid w:val="00F63F06"/>
    <w:rsid w:val="00F704C8"/>
    <w:rsid w:val="00F77051"/>
    <w:rsid w:val="00F8630B"/>
    <w:rsid w:val="00FB5A71"/>
    <w:rsid w:val="00FB7D2B"/>
    <w:rsid w:val="00FC23FC"/>
    <w:rsid w:val="00FD43BB"/>
    <w:rsid w:val="00FD6080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3CFD35"/>
  <w15:docId w15:val="{8B4110C9-5F44-42FB-BB04-3DCACA10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C759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75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8CDE-9B9A-4A9A-B0A9-6BE33FA4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Deepak Behera</cp:lastModifiedBy>
  <cp:revision>47</cp:revision>
  <dcterms:created xsi:type="dcterms:W3CDTF">2014-05-20T17:43:00Z</dcterms:created>
  <dcterms:modified xsi:type="dcterms:W3CDTF">2018-06-07T10:43:00Z</dcterms:modified>
</cp:coreProperties>
</file>