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4D5C9" w14:textId="77777777"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14:paraId="2F1A6D31" w14:textId="77777777"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7457CDC7" wp14:editId="677E3158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14:paraId="0A32CCF5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23DBBD4E" w14:textId="402115CE" w:rsidR="006F4ECC" w:rsidRPr="00C76173" w:rsidRDefault="002F5DF4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IBM Emptoris </w:t>
            </w:r>
            <w:r w:rsidR="00A8584A">
              <w:rPr>
                <w:rFonts w:ascii="Calibri" w:eastAsia="Calibri" w:hAnsi="Calibri" w:cs="Calibri"/>
                <w:b/>
                <w:sz w:val="32"/>
              </w:rPr>
              <w:t xml:space="preserve">Spend Analysis </w:t>
            </w:r>
            <w:r w:rsidR="00E83952">
              <w:rPr>
                <w:rFonts w:ascii="Calibri" w:eastAsia="Calibri" w:hAnsi="Calibri" w:cs="Calibri"/>
                <w:b/>
                <w:sz w:val="32"/>
              </w:rPr>
              <w:t xml:space="preserve">- </w:t>
            </w:r>
            <w:r w:rsidR="000664F6">
              <w:rPr>
                <w:rFonts w:ascii="Calibri" w:eastAsia="Calibri" w:hAnsi="Calibri" w:cs="Calibri"/>
                <w:b/>
                <w:sz w:val="32"/>
              </w:rPr>
              <w:t>10.1</w:t>
            </w:r>
            <w:r w:rsidR="007D24B0">
              <w:rPr>
                <w:rFonts w:ascii="Calibri" w:eastAsia="Calibri" w:hAnsi="Calibri" w:cs="Calibri"/>
                <w:b/>
                <w:sz w:val="32"/>
              </w:rPr>
              <w:t>.</w:t>
            </w:r>
            <w:r w:rsidR="00CE0E60">
              <w:rPr>
                <w:rFonts w:ascii="Calibri" w:eastAsia="Calibri" w:hAnsi="Calibri" w:cs="Calibri"/>
                <w:b/>
                <w:sz w:val="32"/>
              </w:rPr>
              <w:t>1.</w:t>
            </w:r>
            <w:r w:rsidR="00D339CD">
              <w:rPr>
                <w:rFonts w:ascii="Calibri" w:eastAsia="Calibri" w:hAnsi="Calibri" w:cs="Calibri"/>
                <w:b/>
                <w:sz w:val="32"/>
              </w:rPr>
              <w:t>20</w:t>
            </w:r>
            <w:r w:rsidR="00D46BB1">
              <w:rPr>
                <w:rFonts w:ascii="Calibri" w:eastAsia="Calibri" w:hAnsi="Calibri" w:cs="Calibri"/>
                <w:b/>
                <w:sz w:val="32"/>
              </w:rPr>
              <w:t xml:space="preserve"> </w:t>
            </w:r>
            <w:r w:rsidR="006F4ECC"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14:paraId="3FFA1E45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9681B19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29E48CB6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3FF6FB0F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010A393B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00424A8E" w14:textId="77777777"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14:paraId="6FAF30A1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59ED87CA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087F27FA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12D6243" w14:textId="77777777" w:rsidR="006F4ECC" w:rsidRPr="00170812" w:rsidRDefault="006F4ECC" w:rsidP="0017451F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170812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IBM</w:t>
            </w:r>
            <w:r w:rsidR="002E78BF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</w:t>
            </w:r>
            <w:proofErr w:type="spellStart"/>
            <w:r w:rsidRPr="00170812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Emptoris</w:t>
            </w:r>
            <w:proofErr w:type="spellEnd"/>
            <w:r w:rsidRPr="00170812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Spend Analysis</w:t>
            </w:r>
          </w:p>
          <w:p w14:paraId="151F5FE9" w14:textId="77777777" w:rsidR="006F4ECC" w:rsidRPr="00170812" w:rsidRDefault="006F4ECC" w:rsidP="0017451F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14:paraId="2A566148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EE9792A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4DDA10A8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41BDD30D" w14:textId="7B52624C" w:rsidR="006F4ECC" w:rsidRPr="00170812" w:rsidRDefault="00CE0E60" w:rsidP="000F1BD7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10.1.1.</w:t>
            </w:r>
            <w:r w:rsidR="00D339CD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20</w:t>
            </w:r>
          </w:p>
        </w:tc>
      </w:tr>
      <w:tr w:rsidR="006F4ECC" w:rsidRPr="00633D6C" w14:paraId="621A513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4EDECC8A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5459AB9D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0F198BF1" w14:textId="4E3B76CA" w:rsidR="006F4ECC" w:rsidRPr="002F5DF4" w:rsidRDefault="00B92D97" w:rsidP="0017451F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RB</w:t>
            </w:r>
          </w:p>
        </w:tc>
      </w:tr>
      <w:tr w:rsidR="006F4ECC" w:rsidRPr="00633D6C" w14:paraId="646FEB51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26AAEC26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06322BA0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4DC046FB" w14:textId="77777777" w:rsidR="006F4ECC" w:rsidRPr="002F5DF4" w:rsidRDefault="00F464FA" w:rsidP="001C5C3A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Spend</w:t>
            </w:r>
            <w:r w:rsidR="00346375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Analysis </w:t>
            </w: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QA</w:t>
            </w:r>
            <w:r w:rsidR="00346375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Team</w:t>
            </w:r>
          </w:p>
        </w:tc>
      </w:tr>
    </w:tbl>
    <w:p w14:paraId="34A35DFD" w14:textId="77777777"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7A598B66" w14:textId="77777777" w:rsidR="006F4EC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845B5C0" w14:textId="77777777" w:rsidR="00A8584A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055A5D99" w14:textId="77777777" w:rsidR="00A8584A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76C557B3" w14:textId="77777777" w:rsidR="00A8584A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0BC252CF" w14:textId="77777777" w:rsidR="00A8584A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38EF8E84" w14:textId="77777777" w:rsidR="00A8584A" w:rsidRPr="00633D6C" w:rsidRDefault="00A8584A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93B2416" w14:textId="77777777"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14:paraId="4CE43A6E" w14:textId="77777777"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14:paraId="6AA27104" w14:textId="77777777"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74D6853C" w14:textId="77777777"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64C24661" w14:textId="77777777"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4"/>
        <w:gridCol w:w="4703"/>
        <w:gridCol w:w="4553"/>
      </w:tblGrid>
      <w:tr w:rsidR="006F4ECC" w:rsidRPr="00633D6C" w14:paraId="767F0E43" w14:textId="77777777" w:rsidTr="000664F6">
        <w:trPr>
          <w:trHeight w:val="348"/>
        </w:trPr>
        <w:tc>
          <w:tcPr>
            <w:tcW w:w="2460" w:type="dxa"/>
          </w:tcPr>
          <w:p w14:paraId="0C12F38C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14:paraId="4E160272" w14:textId="391F6A67" w:rsidR="006F4ECC" w:rsidRPr="000A4EE9" w:rsidRDefault="000664F6" w:rsidP="000664F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</w:rPr>
              <w:t>EMP_Spend_Manager_10.1</w:t>
            </w:r>
            <w:r w:rsidR="005018C8">
              <w:rPr>
                <w:rFonts w:ascii="Calibri" w:eastAsia="Calibri" w:hAnsi="Calibri" w:cs="Calibri"/>
                <w:sz w:val="24"/>
              </w:rPr>
              <w:t>.</w:t>
            </w:r>
            <w:r w:rsidR="00B23A3A">
              <w:rPr>
                <w:rFonts w:ascii="Calibri" w:eastAsia="Calibri" w:hAnsi="Calibri" w:cs="Calibri"/>
                <w:sz w:val="24"/>
              </w:rPr>
              <w:t>1.</w:t>
            </w:r>
            <w:r w:rsidR="00D339CD">
              <w:rPr>
                <w:rFonts w:ascii="Calibri" w:eastAsia="Calibri" w:hAnsi="Calibri" w:cs="Calibri"/>
                <w:sz w:val="24"/>
              </w:rPr>
              <w:t>20</w:t>
            </w:r>
            <w:r w:rsidR="00983D6A">
              <w:rPr>
                <w:rFonts w:ascii="Calibri" w:eastAsia="Calibri" w:hAnsi="Calibri" w:cs="Calibri"/>
                <w:sz w:val="24"/>
              </w:rPr>
              <w:t>_</w:t>
            </w:r>
            <w:r w:rsidR="00244409">
              <w:rPr>
                <w:rFonts w:ascii="Calibri" w:eastAsia="Calibri" w:hAnsi="Calibri" w:cs="Calibri"/>
                <w:sz w:val="24"/>
              </w:rPr>
              <w:t>81</w:t>
            </w:r>
          </w:p>
        </w:tc>
        <w:tc>
          <w:tcPr>
            <w:tcW w:w="4950" w:type="dxa"/>
          </w:tcPr>
          <w:p w14:paraId="354C38E1" w14:textId="77777777" w:rsidR="00DD4372" w:rsidRDefault="00DD4372" w:rsidP="00DD4372">
            <w:pPr>
              <w:rPr>
                <w:rFonts w:asciiTheme="minorHAnsi" w:hAnsiTheme="minorHAnsi" w:cs="Palatino Linotype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Palatino Linotype"/>
                <w:b/>
                <w:bCs/>
                <w:sz w:val="24"/>
                <w:szCs w:val="24"/>
              </w:rPr>
              <w:t xml:space="preserve">UCD: </w:t>
            </w:r>
          </w:p>
          <w:p w14:paraId="3D68BF48" w14:textId="46E622BF" w:rsidR="006F4ECC" w:rsidRPr="002F5DF4" w:rsidRDefault="00DD4372" w:rsidP="00DD4372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  <w:r w:rsidRPr="008920C9">
              <w:rPr>
                <w:rFonts w:asciiTheme="minorHAnsi" w:hAnsiTheme="minorHAnsi" w:cs="Palatino Linotype"/>
                <w:bCs/>
                <w:sz w:val="24"/>
                <w:szCs w:val="24"/>
              </w:rPr>
              <w:t>EMP_Sp</w:t>
            </w:r>
            <w:r w:rsidR="00851DFD">
              <w:rPr>
                <w:rFonts w:asciiTheme="minorHAnsi" w:hAnsiTheme="minorHAnsi" w:cs="Palatino Linotype"/>
                <w:bCs/>
                <w:sz w:val="24"/>
                <w:szCs w:val="24"/>
              </w:rPr>
              <w:t>end_Manager_10.1.1.</w:t>
            </w:r>
            <w:r w:rsidR="000A6E3C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D339CD">
              <w:rPr>
                <w:rFonts w:ascii="Calibri" w:hAnsi="Calibri" w:cs="Calibri"/>
                <w:bCs/>
                <w:sz w:val="24"/>
                <w:szCs w:val="24"/>
              </w:rPr>
              <w:t>20</w:t>
            </w:r>
            <w:r w:rsidR="000A6E3C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983D6A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244409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="Palatino Linotype"/>
                <w:bCs/>
                <w:sz w:val="24"/>
                <w:szCs w:val="24"/>
              </w:rPr>
              <w:t>_UCD</w:t>
            </w:r>
          </w:p>
        </w:tc>
      </w:tr>
      <w:tr w:rsidR="00702600" w:rsidRPr="00633D6C" w14:paraId="49DF6805" w14:textId="77777777" w:rsidTr="000664F6">
        <w:trPr>
          <w:trHeight w:val="92"/>
        </w:trPr>
        <w:tc>
          <w:tcPr>
            <w:tcW w:w="2460" w:type="dxa"/>
          </w:tcPr>
          <w:p w14:paraId="035309C5" w14:textId="77777777"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14:paraId="23AA6D8F" w14:textId="77777777" w:rsidR="00E85CA3" w:rsidRPr="00D47561" w:rsidRDefault="00282038" w:rsidP="00E85CA3">
            <w:pPr>
              <w:rPr>
                <w:rFonts w:ascii="Calibri" w:hAnsi="Calibri" w:cs="Calibri"/>
                <w:i/>
                <w:sz w:val="24"/>
                <w:szCs w:val="24"/>
              </w:rPr>
            </w:pPr>
            <w:hyperlink r:id="rId8" w:history="1">
              <w:r w:rsidR="00E85CA3" w:rsidRPr="00D47561">
                <w:rPr>
                  <w:rStyle w:val="Hyperlink"/>
                  <w:rFonts w:ascii="Calibri" w:hAnsi="Calibri" w:cs="Calibri"/>
                  <w:i/>
                  <w:sz w:val="24"/>
                  <w:szCs w:val="24"/>
                </w:rPr>
                <w:t>Passport Advantage</w:t>
              </w:r>
            </w:hyperlink>
          </w:p>
          <w:p w14:paraId="5C39DA1F" w14:textId="0F299DCA" w:rsidR="00E85CA3" w:rsidRPr="000A4EE9" w:rsidRDefault="000F1BD7" w:rsidP="00E85CA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EMP_Spend_Manager_10.1.</w:t>
            </w:r>
            <w:r w:rsidR="00F36143">
              <w:rPr>
                <w:rFonts w:ascii="Calibri" w:hAnsi="Calibri" w:cs="Calibri"/>
                <w:bCs/>
                <w:sz w:val="24"/>
                <w:szCs w:val="24"/>
              </w:rPr>
              <w:t>1.</w:t>
            </w:r>
            <w:r w:rsidR="00D339CD">
              <w:rPr>
                <w:rFonts w:ascii="Calibri" w:hAnsi="Calibri" w:cs="Calibri"/>
                <w:bCs/>
                <w:sz w:val="24"/>
                <w:szCs w:val="24"/>
              </w:rPr>
              <w:t>20</w:t>
            </w:r>
            <w:r w:rsidR="000A6E3C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983D6A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244409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C36734">
              <w:rPr>
                <w:rFonts w:ascii="Calibri" w:hAnsi="Calibri" w:cs="Calibri"/>
                <w:bCs/>
                <w:sz w:val="24"/>
                <w:szCs w:val="24"/>
              </w:rPr>
              <w:t>_FULL</w:t>
            </w:r>
            <w:r w:rsidR="000664F6" w:rsidRPr="000664F6"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14:paraId="3271B992" w14:textId="77777777" w:rsidR="00E85CA3" w:rsidRPr="00D47561" w:rsidRDefault="00282038" w:rsidP="00E85CA3">
            <w:pPr>
              <w:rPr>
                <w:rFonts w:ascii="Calibri" w:hAnsi="Calibri" w:cs="Calibri"/>
                <w:i/>
                <w:sz w:val="24"/>
                <w:szCs w:val="24"/>
              </w:rPr>
            </w:pPr>
            <w:hyperlink r:id="rId9" w:history="1">
              <w:r w:rsidR="00E85CA3" w:rsidRPr="00D47561">
                <w:rPr>
                  <w:rStyle w:val="Hyperlink"/>
                  <w:rFonts w:ascii="Calibri" w:hAnsi="Calibri" w:cs="Calibri"/>
                  <w:i/>
                  <w:sz w:val="24"/>
                  <w:szCs w:val="24"/>
                </w:rPr>
                <w:t>Fix Central</w:t>
              </w:r>
            </w:hyperlink>
          </w:p>
          <w:p w14:paraId="4FE8D581" w14:textId="21DB1C4E" w:rsidR="00DB5675" w:rsidRPr="00DB5675" w:rsidRDefault="00C36734" w:rsidP="009E7646">
            <w:pPr>
              <w:rPr>
                <w:rFonts w:ascii="Calibri" w:hAnsi="Calibri" w:cs="Calibri"/>
                <w:sz w:val="24"/>
                <w:szCs w:val="24"/>
              </w:rPr>
            </w:pPr>
            <w:r w:rsidRPr="00C36734">
              <w:rPr>
                <w:rFonts w:ascii="Calibri" w:eastAsia="Calibri" w:hAnsi="Calibri" w:cs="Calibri"/>
                <w:sz w:val="24"/>
              </w:rPr>
              <w:t>EM</w:t>
            </w:r>
            <w:r>
              <w:rPr>
                <w:rFonts w:ascii="Calibri" w:eastAsia="Calibri" w:hAnsi="Calibri" w:cs="Calibri"/>
                <w:sz w:val="24"/>
              </w:rPr>
              <w:t>P_Spend_Manager_10.1.1.</w:t>
            </w:r>
            <w:r w:rsidR="000A6E3C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D339CD">
              <w:rPr>
                <w:rFonts w:ascii="Calibri" w:hAnsi="Calibri" w:cs="Calibri"/>
                <w:bCs/>
                <w:sz w:val="24"/>
                <w:szCs w:val="24"/>
              </w:rPr>
              <w:t>20</w:t>
            </w:r>
            <w:r w:rsidR="000A6E3C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bookmarkStart w:id="0" w:name="_GoBack"/>
            <w:bookmarkEnd w:id="0"/>
            <w:r w:rsidR="00983D6A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244409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</w:p>
        </w:tc>
        <w:tc>
          <w:tcPr>
            <w:tcW w:w="4950" w:type="dxa"/>
          </w:tcPr>
          <w:p w14:paraId="325389EF" w14:textId="77777777" w:rsidR="00702600" w:rsidRPr="002F5DF4" w:rsidRDefault="00702600" w:rsidP="00702600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14:paraId="6BD60EFF" w14:textId="77777777" w:rsidTr="000664F6">
        <w:trPr>
          <w:trHeight w:val="92"/>
        </w:trPr>
        <w:tc>
          <w:tcPr>
            <w:tcW w:w="2460" w:type="dxa"/>
          </w:tcPr>
          <w:p w14:paraId="1AA66BA0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110" w:type="dxa"/>
          </w:tcPr>
          <w:p w14:paraId="7D7B8A80" w14:textId="77777777" w:rsidR="006F4ECC" w:rsidRPr="002F5DF4" w:rsidRDefault="0094212A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Not Applicable</w:t>
            </w:r>
          </w:p>
        </w:tc>
        <w:tc>
          <w:tcPr>
            <w:tcW w:w="4950" w:type="dxa"/>
          </w:tcPr>
          <w:p w14:paraId="077D453E" w14:textId="77777777"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14:paraId="06AC617C" w14:textId="77777777" w:rsidTr="000664F6">
        <w:trPr>
          <w:trHeight w:val="92"/>
        </w:trPr>
        <w:tc>
          <w:tcPr>
            <w:tcW w:w="2460" w:type="dxa"/>
          </w:tcPr>
          <w:p w14:paraId="0E0A44AD" w14:textId="77777777"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14:paraId="3AF95406" w14:textId="77777777" w:rsidR="006F4ECC" w:rsidRPr="002F5DF4" w:rsidRDefault="00282038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hyperlink r:id="rId10" w:history="1">
              <w:r w:rsidR="000A4EE9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0A4EE9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0A4EE9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4950" w:type="dxa"/>
          </w:tcPr>
          <w:p w14:paraId="0A194658" w14:textId="77777777"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14:paraId="1E24786A" w14:textId="02D5FE6E"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E28AB10" w14:textId="7DE91EDE" w:rsidR="00DD4372" w:rsidRDefault="00DD4372" w:rsidP="00DD4372">
      <w:pPr>
        <w:ind w:right="1584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For UCD deploy</w:t>
      </w:r>
      <w:r w:rsidR="00663354">
        <w:rPr>
          <w:rFonts w:ascii="Calibri" w:hAnsi="Calibri" w:cs="Calibri"/>
          <w:b/>
          <w:sz w:val="24"/>
          <w:szCs w:val="24"/>
        </w:rPr>
        <w:t>ment of current release 10.1.1.</w:t>
      </w:r>
      <w:r w:rsidR="00D339CD">
        <w:rPr>
          <w:rFonts w:ascii="Calibri" w:hAnsi="Calibri" w:cs="Calibri"/>
          <w:b/>
          <w:sz w:val="24"/>
          <w:szCs w:val="24"/>
        </w:rPr>
        <w:t>20</w:t>
      </w:r>
      <w:r>
        <w:rPr>
          <w:rFonts w:ascii="Calibri" w:hAnsi="Calibri" w:cs="Calibri"/>
          <w:b/>
          <w:sz w:val="24"/>
          <w:szCs w:val="24"/>
        </w:rPr>
        <w:t xml:space="preserve"> the minimum product </w:t>
      </w:r>
      <w:r w:rsidR="00CE0E60">
        <w:rPr>
          <w:rFonts w:ascii="Calibri" w:hAnsi="Calibri" w:cs="Calibri"/>
          <w:b/>
          <w:sz w:val="24"/>
          <w:szCs w:val="24"/>
        </w:rPr>
        <w:t>version should be 10.1.1.0</w:t>
      </w:r>
    </w:p>
    <w:p w14:paraId="668E6A7F" w14:textId="77777777" w:rsidR="00DD4372" w:rsidRDefault="00DD4372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51ECEE38" w14:textId="77777777"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97BB3E3" w14:textId="77777777"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69B0C143" w14:textId="77777777" w:rsidR="00152F45" w:rsidRDefault="00152F45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tbl>
      <w:tblPr>
        <w:tblW w:w="12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"/>
        <w:gridCol w:w="11738"/>
      </w:tblGrid>
      <w:tr w:rsidR="00F9288E" w:rsidRPr="00633D6C" w14:paraId="5BE074C4" w14:textId="77777777" w:rsidTr="004D51E1">
        <w:trPr>
          <w:trHeight w:val="348"/>
        </w:trPr>
        <w:tc>
          <w:tcPr>
            <w:tcW w:w="458" w:type="dxa"/>
          </w:tcPr>
          <w:p w14:paraId="14F161DF" w14:textId="34AECFE5" w:rsidR="00F9288E" w:rsidRPr="00B16F72" w:rsidRDefault="00F9288E" w:rsidP="005E772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#1</w:t>
            </w:r>
          </w:p>
        </w:tc>
        <w:tc>
          <w:tcPr>
            <w:tcW w:w="11738" w:type="dxa"/>
          </w:tcPr>
          <w:p w14:paraId="3EED59F0" w14:textId="753B19B2" w:rsidR="00F9288E" w:rsidRDefault="00F9288E" w:rsidP="005E7725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 w:rsidRPr="005B1524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 xml:space="preserve">The UCD scripts for all the products have been changed. Please pick the new script from </w:t>
            </w:r>
            <w:hyperlink r:id="rId11" w:history="1">
              <w:r w:rsidR="00B943D8" w:rsidRPr="009F43E2">
                <w:rPr>
                  <w:rStyle w:val="Hyperlink"/>
                  <w:rFonts w:ascii="Calibri" w:eastAsia="Calibri" w:hAnsi="Calibri" w:cs="Calibri"/>
                  <w:bCs/>
                  <w:sz w:val="24"/>
                  <w:szCs w:val="24"/>
                </w:rPr>
                <w:t>\\burbuildrepo.dub.usoh.ibm.com\Spend_Analyzer\gold_builds\10.1.1.x\&lt;build_no</w:t>
              </w:r>
            </w:hyperlink>
            <w:r w:rsidR="004D51E1" w:rsidRPr="005B1524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&gt;</w:t>
            </w:r>
          </w:p>
          <w:p w14:paraId="2D21143F" w14:textId="77777777" w:rsidR="00B943D8" w:rsidRDefault="00B943D8" w:rsidP="00B943D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8"/>
                <w:szCs w:val="28"/>
              </w:rPr>
            </w:pPr>
            <w:r w:rsidRPr="00973BA0">
              <w:rPr>
                <w:rFonts w:ascii="Calibri" w:eastAsia="Calibri" w:hAnsi="Calibri" w:cs="Calibri"/>
                <w:b/>
                <w:bCs/>
                <w:i/>
                <w:color w:val="000000"/>
                <w:sz w:val="24"/>
                <w:szCs w:val="24"/>
              </w:rPr>
              <w:t>These scripts should be used for all the UCD nodes for all the releases going ahead</w:t>
            </w:r>
          </w:p>
          <w:p w14:paraId="0B447245" w14:textId="37D9F088" w:rsidR="00B943D8" w:rsidRPr="002C1ED2" w:rsidRDefault="00B943D8" w:rsidP="005E7725">
            <w:pPr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</w:pPr>
          </w:p>
        </w:tc>
      </w:tr>
      <w:tr w:rsidR="005E7725" w:rsidRPr="00633D6C" w14:paraId="428D3CE4" w14:textId="77777777" w:rsidTr="004D51E1">
        <w:trPr>
          <w:trHeight w:val="348"/>
        </w:trPr>
        <w:tc>
          <w:tcPr>
            <w:tcW w:w="458" w:type="dxa"/>
          </w:tcPr>
          <w:p w14:paraId="53E837B5" w14:textId="4BC0118C" w:rsidR="005E7725" w:rsidRPr="00B16F72" w:rsidRDefault="005E7725" w:rsidP="005E7725">
            <w:pPr>
              <w:rPr>
                <w:rFonts w:ascii="Calibri" w:hAnsi="Calibri" w:cs="Calibri"/>
                <w:sz w:val="24"/>
                <w:szCs w:val="24"/>
              </w:rPr>
            </w:pPr>
            <w:r w:rsidRPr="00B16F72">
              <w:rPr>
                <w:rFonts w:ascii="Calibri" w:hAnsi="Calibri" w:cs="Calibri"/>
                <w:sz w:val="24"/>
                <w:szCs w:val="24"/>
              </w:rPr>
              <w:t>#</w:t>
            </w:r>
            <w:r w:rsidR="00F9288E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1738" w:type="dxa"/>
          </w:tcPr>
          <w:p w14:paraId="58FD875B" w14:textId="77777777" w:rsidR="005E7725" w:rsidRPr="002C1ED2" w:rsidRDefault="005E7725" w:rsidP="005E7725">
            <w:pPr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</w:pP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Enabling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Emptoris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Spend Analysis for Creating and Exporting Large Nested Tabulations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If you have nested tabulations and with more than hundred thousand rows, the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Emptoris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Spend Analysis application might stop responding and out of memory issues might occur. To enable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Emptoris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Spend Analysis for creating and exporting large tabulations, you must configure certain properties on the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plinthos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server.</w:t>
            </w:r>
          </w:p>
          <w:p w14:paraId="113EA5F2" w14:textId="77777777" w:rsidR="005E7725" w:rsidRDefault="005E7725" w:rsidP="005E7725">
            <w:pPr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</w:pP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Before you begin and configure the properties, make sure that the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plinthos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server has a minimum of 100 GB free disk space. The disk space requirement will vary based on your data. Contact your customer representative for sizing and hardware requirement.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Procedure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lastRenderedPageBreak/>
              <w:br/>
            </w: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To enable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Emptoris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Spend Analysis for creating and exporting large tabulations, complete the following steps: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On the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plinthos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server, set the following property in the /opt/emptoris/apps/&lt;install_build&gt;/SPEND_10_1_0_0_0_b&lt;build_no&gt;/ReportingNode1_3/BaseDirectory/config/grid-config/crosstab_configuration.properties file.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LONG_JOB_TIME_MINUTES=900</w:t>
            </w:r>
          </w:p>
          <w:p w14:paraId="2B71005E" w14:textId="101E75D8" w:rsidR="005E7725" w:rsidRDefault="005E7725" w:rsidP="005E7725">
            <w:pPr>
              <w:rPr>
                <w:rFonts w:eastAsia="Times New Roman"/>
              </w:rPr>
            </w:pPr>
            <w:r>
              <w:rPr>
                <w:rStyle w:val="left"/>
                <w:rFonts w:ascii="Arial" w:hAnsi="Arial" w:cs="Arial"/>
                <w:color w:val="000000"/>
              </w:rPr>
              <w:t>TABULATION_CACHE_PERSIST=true</w:t>
            </w:r>
            <w:r>
              <w:t> </w:t>
            </w:r>
            <w:r w:rsidR="00F73BF6">
              <w:t xml:space="preserve">   </w:t>
            </w:r>
            <w:proofErr w:type="gramStart"/>
            <w:r w:rsidR="00F73BF6">
              <w:t>….</w:t>
            </w:r>
            <w:r w:rsidR="00F73BF6">
              <w:rPr>
                <w:rFonts w:ascii="Arial" w:hAnsi="Arial" w:cs="Arial"/>
              </w:rPr>
              <w:t>/</w:t>
            </w:r>
            <w:proofErr w:type="gramEnd"/>
            <w:r w:rsidR="00F73BF6">
              <w:rPr>
                <w:rFonts w:ascii="Arial" w:hAnsi="Arial" w:cs="Arial"/>
              </w:rPr>
              <w:t>/This property is by default true</w:t>
            </w:r>
            <w:r w:rsidR="00CA7F1A">
              <w:rPr>
                <w:rFonts w:ascii="Arial" w:hAnsi="Arial" w:cs="Arial"/>
              </w:rPr>
              <w:t xml:space="preserve">. </w:t>
            </w:r>
            <w:proofErr w:type="spellStart"/>
            <w:r w:rsidR="00CA7F1A">
              <w:rPr>
                <w:rFonts w:ascii="Arial" w:hAnsi="Arial" w:cs="Arial"/>
              </w:rPr>
              <w:t>Dont</w:t>
            </w:r>
            <w:proofErr w:type="spellEnd"/>
            <w:r w:rsidR="00F73BF6">
              <w:rPr>
                <w:rFonts w:ascii="Arial" w:hAnsi="Arial" w:cs="Arial"/>
              </w:rPr>
              <w:t xml:space="preserve"> </w:t>
            </w:r>
            <w:proofErr w:type="gramStart"/>
            <w:r w:rsidR="00F73BF6">
              <w:rPr>
                <w:rFonts w:ascii="Arial" w:hAnsi="Arial" w:cs="Arial"/>
              </w:rPr>
              <w:t>have to</w:t>
            </w:r>
            <w:proofErr w:type="gramEnd"/>
            <w:r w:rsidR="00F73BF6">
              <w:rPr>
                <w:rFonts w:ascii="Arial" w:hAnsi="Arial" w:cs="Arial"/>
              </w:rPr>
              <w:t xml:space="preserve"> add it explicitly.</w:t>
            </w:r>
          </w:p>
          <w:p w14:paraId="2927EC9E" w14:textId="77777777" w:rsidR="005E7725" w:rsidRPr="002C1ED2" w:rsidRDefault="005E7725" w:rsidP="005E7725">
            <w:pPr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</w:pP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In the following files, set the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ProxyTimeout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property to 36000.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</w:p>
          <w:p w14:paraId="7BAD3466" w14:textId="77777777" w:rsidR="005E7725" w:rsidRPr="002C1ED2" w:rsidRDefault="005E7725" w:rsidP="005E7725">
            <w:pPr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</w:pP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opt\emptoris\apps\&lt;install_build&gt;\Apache_2_0_1_0_0_b78\HttpProxy1_2\pws\config\pws.conf = 36000 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opt\emptoris\apps\&lt;install_build&gt;\Apache_2_0_1_0_0_b78\HttpProxy1_2\conf\apps\spend\spend.conf = 36000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br/>
            </w:r>
          </w:p>
          <w:p w14:paraId="3EC02670" w14:textId="77777777" w:rsidR="005E7725" w:rsidRPr="002B0CF9" w:rsidRDefault="005E7725" w:rsidP="005E7725">
            <w:pPr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</w:pPr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Add a property in the WebSphere Application Server configuration on the </w:t>
            </w:r>
            <w:proofErr w:type="spellStart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>plinthos</w:t>
            </w:r>
            <w:proofErr w:type="spellEnd"/>
            <w:r w:rsidRPr="002C1ED2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server by completing the instructions that are provided in the following topic.</w:t>
            </w:r>
            <w:r w:rsidRPr="002B0CF9"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  <w:t xml:space="preserve"> </w:t>
            </w:r>
          </w:p>
          <w:p w14:paraId="6C8F7A6A" w14:textId="77777777" w:rsidR="005E7725" w:rsidRPr="002C1ED2" w:rsidRDefault="005E7725" w:rsidP="005E7725">
            <w:pPr>
              <w:rPr>
                <w:rFonts w:ascii="Calibri" w:eastAsia="Calibri" w:hAnsi="Calibri" w:cs="Calibri"/>
                <w:color w:val="000000"/>
                <w:sz w:val="24"/>
                <w:szCs w:val="24"/>
                <w:lang w:val="en-IN"/>
              </w:rPr>
            </w:pPr>
          </w:p>
          <w:p w14:paraId="57582BA5" w14:textId="77777777" w:rsidR="005E7725" w:rsidRPr="002C1ED2" w:rsidRDefault="00282038" w:rsidP="005E7725">
            <w:pPr>
              <w:rPr>
                <w:rFonts w:ascii="Calibri" w:eastAsia="Calibri" w:hAnsi="Calibri" w:cs="Calibri"/>
                <w:color w:val="0070C0"/>
                <w:sz w:val="24"/>
                <w:szCs w:val="24"/>
                <w:u w:val="single"/>
                <w:lang w:val="en-IN"/>
              </w:rPr>
            </w:pPr>
            <w:hyperlink r:id="rId12" w:tgtFrame="_blank" w:tooltip="(Opens in a new tab or window)" w:history="1">
              <w:r w:rsidR="005E7725" w:rsidRPr="002C1ED2">
                <w:rPr>
                  <w:rFonts w:ascii="Calibri" w:eastAsia="Calibri" w:hAnsi="Calibri" w:cs="Calibri"/>
                  <w:color w:val="0070C0"/>
                  <w:sz w:val="24"/>
                  <w:szCs w:val="24"/>
                  <w:u w:val="single"/>
                  <w:lang w:val="en-IN"/>
                </w:rPr>
                <w:t xml:space="preserve">Setting the WebSphere Application Server </w:t>
              </w:r>
              <w:proofErr w:type="spellStart"/>
              <w:r w:rsidR="005E7725" w:rsidRPr="002C1ED2">
                <w:rPr>
                  <w:rFonts w:ascii="Calibri" w:eastAsia="Calibri" w:hAnsi="Calibri" w:cs="Calibri"/>
                  <w:color w:val="0070C0"/>
                  <w:sz w:val="24"/>
                  <w:szCs w:val="24"/>
                  <w:u w:val="single"/>
                  <w:lang w:val="en-IN"/>
                </w:rPr>
                <w:t>WebContainer</w:t>
              </w:r>
              <w:proofErr w:type="spellEnd"/>
              <w:r w:rsidR="005E7725" w:rsidRPr="002C1ED2">
                <w:rPr>
                  <w:rFonts w:ascii="Calibri" w:eastAsia="Calibri" w:hAnsi="Calibri" w:cs="Calibri"/>
                  <w:color w:val="0070C0"/>
                  <w:sz w:val="24"/>
                  <w:szCs w:val="24"/>
                  <w:u w:val="single"/>
                  <w:lang w:val="en-IN"/>
                </w:rPr>
                <w:t xml:space="preserve"> to synchronous mode</w:t>
              </w:r>
            </w:hyperlink>
          </w:p>
          <w:p w14:paraId="0EADF499" w14:textId="67B2FF6B" w:rsidR="005E7725" w:rsidRPr="002F5DF4" w:rsidRDefault="005E7725" w:rsidP="005E7725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14:paraId="38C226CB" w14:textId="77777777" w:rsidTr="004D51E1">
        <w:trPr>
          <w:trHeight w:val="92"/>
        </w:trPr>
        <w:tc>
          <w:tcPr>
            <w:tcW w:w="458" w:type="dxa"/>
          </w:tcPr>
          <w:p w14:paraId="3F65D038" w14:textId="29462E47"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B16F72">
              <w:rPr>
                <w:rFonts w:ascii="Calibri" w:hAnsi="Calibri" w:cs="Calibri"/>
                <w:sz w:val="24"/>
                <w:szCs w:val="24"/>
              </w:rPr>
              <w:lastRenderedPageBreak/>
              <w:t>#</w:t>
            </w:r>
            <w:r w:rsidR="00F9288E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11738" w:type="dxa"/>
          </w:tcPr>
          <w:p w14:paraId="3FF1C292" w14:textId="77777777"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2F5DF4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>Workarounds</w:t>
            </w:r>
            <w:r w:rsidR="00F378E5">
              <w:rPr>
                <w:rFonts w:ascii="Calibri" w:hAnsi="Calibri" w:cs="Calibri"/>
                <w:i/>
                <w:color w:val="0000CC"/>
                <w:sz w:val="24"/>
                <w:szCs w:val="24"/>
              </w:rPr>
              <w:t xml:space="preserve"> – NA</w:t>
            </w:r>
          </w:p>
        </w:tc>
      </w:tr>
    </w:tbl>
    <w:p w14:paraId="0B5705BA" w14:textId="77777777" w:rsidR="006414B5" w:rsidRDefault="006414B5" w:rsidP="005A3773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8873A98" w14:textId="77777777" w:rsidR="000A4EE9" w:rsidRPr="00633D6C" w:rsidRDefault="000A4EE9" w:rsidP="000A4EE9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14:paraId="36DFA951" w14:textId="1EF5E0AA" w:rsidR="004F0E9D" w:rsidRDefault="004F0E9D" w:rsidP="004F0E9D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75478D">
          <w:rPr>
            <w:rStyle w:val="Hyperlink"/>
            <w:rFonts w:ascii="Calibri" w:hAnsi="Calibri" w:cs="Calibri"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E82659">
        <w:rPr>
          <w:rFonts w:ascii="Calibri" w:hAnsi="Calibri" w:cs="Calibri"/>
          <w:sz w:val="22"/>
          <w:szCs w:val="22"/>
        </w:rPr>
        <w:t xml:space="preserve"> refer to </w:t>
      </w:r>
      <w:r>
        <w:rPr>
          <w:rFonts w:ascii="Calibri" w:hAnsi="Calibri" w:cs="Calibri"/>
          <w:sz w:val="22"/>
          <w:szCs w:val="22"/>
        </w:rPr>
        <w:t xml:space="preserve">the </w:t>
      </w:r>
      <w:hyperlink r:id="rId14" w:history="1">
        <w:r w:rsidR="00983D6A">
          <w:rPr>
            <w:rStyle w:val="Hyperlink"/>
            <w:rFonts w:ascii="Calibri" w:hAnsi="Calibri" w:cs="Calibri"/>
            <w:sz w:val="22"/>
            <w:szCs w:val="22"/>
          </w:rPr>
          <w:t xml:space="preserve">IBM </w:t>
        </w:r>
        <w:proofErr w:type="spellStart"/>
        <w:r w:rsidR="00983D6A">
          <w:rPr>
            <w:rStyle w:val="Hyperlink"/>
            <w:rFonts w:ascii="Calibri" w:hAnsi="Calibri" w:cs="Calibri"/>
            <w:sz w:val="22"/>
            <w:szCs w:val="22"/>
          </w:rPr>
          <w:t>Emptoris</w:t>
        </w:r>
        <w:proofErr w:type="spellEnd"/>
        <w:r w:rsidR="00983D6A">
          <w:rPr>
            <w:rStyle w:val="Hyperlink"/>
            <w:rFonts w:ascii="Calibri" w:hAnsi="Calibri" w:cs="Calibri"/>
            <w:sz w:val="22"/>
            <w:szCs w:val="22"/>
          </w:rPr>
          <w:t xml:space="preserve"> Spend Analysis 10.1.1.</w:t>
        </w:r>
        <w:r w:rsidR="00D339CD">
          <w:rPr>
            <w:rStyle w:val="Hyperlink"/>
            <w:rFonts w:ascii="Calibri" w:hAnsi="Calibri" w:cs="Calibri"/>
            <w:sz w:val="22"/>
            <w:szCs w:val="22"/>
          </w:rPr>
          <w:t>20</w:t>
        </w:r>
        <w:r w:rsidR="00983D6A">
          <w:rPr>
            <w:rStyle w:val="Hyperlink"/>
            <w:rFonts w:ascii="Calibri" w:hAnsi="Calibri" w:cs="Calibri"/>
            <w:sz w:val="22"/>
            <w:szCs w:val="22"/>
          </w:rPr>
          <w:t xml:space="preserve"> release notes</w:t>
        </w:r>
      </w:hyperlink>
      <w:r w:rsidR="00A8037E">
        <w:rPr>
          <w:rFonts w:ascii="Calibri" w:hAnsi="Calibri" w:cs="Calibri"/>
          <w:sz w:val="22"/>
          <w:szCs w:val="22"/>
        </w:rPr>
        <w:t xml:space="preserve"> on</w:t>
      </w:r>
      <w:r>
        <w:rPr>
          <w:rFonts w:ascii="Calibri" w:hAnsi="Calibri" w:cs="Calibri"/>
          <w:sz w:val="22"/>
          <w:szCs w:val="22"/>
        </w:rPr>
        <w:t xml:space="preserve"> the IBM Knowledge Center.</w:t>
      </w:r>
      <w:r w:rsidR="004C3D18" w:rsidRPr="004C3D18">
        <w:rPr>
          <w:rFonts w:ascii="Calibri" w:hAnsi="Calibri" w:cs="Calibri"/>
          <w:sz w:val="22"/>
          <w:szCs w:val="22"/>
        </w:rPr>
        <w:t xml:space="preserve"> </w:t>
      </w:r>
      <w:r w:rsidR="004C3D18">
        <w:rPr>
          <w:rFonts w:ascii="Calibri" w:hAnsi="Calibri" w:cs="Calibri"/>
          <w:sz w:val="22"/>
          <w:szCs w:val="22"/>
        </w:rPr>
        <w:t>There are no resolved issues in 10.1.1.</w:t>
      </w:r>
      <w:r w:rsidR="00D339CD">
        <w:rPr>
          <w:rFonts w:ascii="Calibri" w:hAnsi="Calibri" w:cs="Calibri"/>
          <w:sz w:val="22"/>
          <w:szCs w:val="22"/>
        </w:rPr>
        <w:t>20</w:t>
      </w:r>
      <w:r w:rsidR="004C3D18">
        <w:rPr>
          <w:rFonts w:ascii="Calibri" w:hAnsi="Calibri" w:cs="Calibri"/>
          <w:sz w:val="22"/>
          <w:szCs w:val="22"/>
        </w:rPr>
        <w:t>.</w:t>
      </w:r>
    </w:p>
    <w:p w14:paraId="3D6F68EF" w14:textId="6E41B52F" w:rsidR="005A3773" w:rsidRDefault="005A3773" w:rsidP="005A3773">
      <w:pPr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</w:p>
    <w:p w14:paraId="69D0C6CE" w14:textId="77777777" w:rsidR="005E7725" w:rsidRPr="005A3773" w:rsidRDefault="005E7725" w:rsidP="005A3773">
      <w:pPr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</w:p>
    <w:p w14:paraId="761970DD" w14:textId="77777777" w:rsidR="00ED552B" w:rsidRDefault="001C0953" w:rsidP="00ED552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Theme="minorHAnsi" w:hAnsiTheme="minorHAnsi" w:cs="Arial"/>
          <w:b/>
          <w:noProof/>
          <w:sz w:val="32"/>
          <w:szCs w:val="32"/>
        </w:rPr>
        <w:t xml:space="preserve">IBM Emptoris </w:t>
      </w:r>
      <w:r w:rsidR="00ED552B">
        <w:rPr>
          <w:rFonts w:asciiTheme="minorHAnsi" w:hAnsiTheme="minorHAnsi" w:cs="Arial"/>
          <w:b/>
          <w:noProof/>
          <w:sz w:val="32"/>
          <w:szCs w:val="32"/>
        </w:rPr>
        <w:t xml:space="preserve">Spend </w:t>
      </w:r>
      <w:r>
        <w:rPr>
          <w:rFonts w:asciiTheme="minorHAnsi" w:hAnsiTheme="minorHAnsi" w:cs="Arial"/>
          <w:b/>
          <w:noProof/>
          <w:sz w:val="32"/>
          <w:szCs w:val="32"/>
        </w:rPr>
        <w:t xml:space="preserve">Analysis </w:t>
      </w:r>
      <w:r w:rsidR="00ED552B">
        <w:rPr>
          <w:rFonts w:ascii="Calibri" w:eastAsia="Calibri" w:hAnsi="Calibri" w:cs="Calibri"/>
          <w:b/>
          <w:bCs/>
          <w:color w:val="000000"/>
          <w:sz w:val="28"/>
          <w:szCs w:val="28"/>
        </w:rPr>
        <w:t>Upgrade Matrix</w:t>
      </w:r>
    </w:p>
    <w:p w14:paraId="490BB889" w14:textId="77777777" w:rsidR="004F0E9D" w:rsidRDefault="004F0E9D" w:rsidP="00ED552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1B3291F" w14:textId="000E9CC7" w:rsidR="00ED552B" w:rsidRDefault="00ED552B" w:rsidP="00ED552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lastRenderedPageBreak/>
        <w:t xml:space="preserve">Note:  If you are </w:t>
      </w:r>
      <w:r w:rsidR="00111C24">
        <w:rPr>
          <w:rFonts w:ascii="Calibri" w:eastAsia="Calibri" w:hAnsi="Calibri" w:cs="Calibri"/>
          <w:bCs/>
          <w:color w:val="000000"/>
          <w:sz w:val="24"/>
          <w:szCs w:val="24"/>
        </w:rPr>
        <w:t>currently running a</w:t>
      </w:r>
      <w:r w:rsidR="001C095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n IBM </w:t>
      </w:r>
      <w:proofErr w:type="spellStart"/>
      <w:r w:rsidR="001C0953">
        <w:rPr>
          <w:rFonts w:ascii="Calibri" w:eastAsia="Calibri" w:hAnsi="Calibri" w:cs="Calibri"/>
          <w:bCs/>
          <w:color w:val="000000"/>
          <w:sz w:val="24"/>
          <w:szCs w:val="24"/>
        </w:rPr>
        <w:t>Emptoris</w:t>
      </w:r>
      <w:proofErr w:type="spellEnd"/>
      <w:r w:rsidR="00111C2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Spend</w:t>
      </w:r>
      <w:r w:rsidR="001C095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Analysis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in the corresponding cell in </w:t>
      </w:r>
      <w:r w:rsidR="00111C2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the 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table</w:t>
      </w:r>
      <w:r w:rsidR="00111C2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77355A">
        <w:rPr>
          <w:rFonts w:ascii="Calibri" w:eastAsia="Calibri" w:hAnsi="Calibri" w:cs="Calibri"/>
          <w:bCs/>
          <w:color w:val="000000"/>
          <w:sz w:val="24"/>
          <w:szCs w:val="24"/>
        </w:rPr>
        <w:t>upgrade to 10.1.1.</w:t>
      </w:r>
      <w:r w:rsidR="003E5FE8">
        <w:rPr>
          <w:rFonts w:ascii="Calibri" w:eastAsia="Calibri" w:hAnsi="Calibri" w:cs="Calibri"/>
          <w:bCs/>
          <w:color w:val="000000"/>
          <w:sz w:val="24"/>
          <w:szCs w:val="24"/>
        </w:rPr>
        <w:t>1</w:t>
      </w:r>
      <w:r w:rsidR="00B943D8">
        <w:rPr>
          <w:rFonts w:ascii="Calibri" w:eastAsia="Calibri" w:hAnsi="Calibri" w:cs="Calibri"/>
          <w:bCs/>
          <w:color w:val="000000"/>
          <w:sz w:val="24"/>
          <w:szCs w:val="24"/>
        </w:rPr>
        <w:t>9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.  Please check with Support to determine the </w:t>
      </w:r>
      <w:r w:rsidR="00C7783B">
        <w:rPr>
          <w:rFonts w:ascii="Calibri" w:eastAsia="Calibri" w:hAnsi="Calibri" w:cs="Calibri"/>
          <w:bCs/>
          <w:color w:val="000000"/>
          <w:sz w:val="24"/>
          <w:szCs w:val="24"/>
        </w:rPr>
        <w:t>appropriate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migration path.</w:t>
      </w:r>
    </w:p>
    <w:p w14:paraId="2FC4AB46" w14:textId="77777777" w:rsidR="007F5CF5" w:rsidRDefault="007F5CF5" w:rsidP="00ED552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13D83CC" w14:textId="77777777" w:rsidR="005A3773" w:rsidRDefault="005A3773" w:rsidP="005A3773">
      <w:pPr>
        <w:ind w:right="1584"/>
        <w:rPr>
          <w:rFonts w:ascii="Calibri" w:eastAsia="Calibri" w:hAnsi="Calibri" w:cs="Calibri"/>
          <w:b/>
          <w:sz w:val="28"/>
        </w:rPr>
      </w:pPr>
    </w:p>
    <w:tbl>
      <w:tblPr>
        <w:tblW w:w="3704" w:type="dxa"/>
        <w:tblInd w:w="720" w:type="dxa"/>
        <w:tblLook w:val="04A0" w:firstRow="1" w:lastRow="0" w:firstColumn="1" w:lastColumn="0" w:noHBand="0" w:noVBand="1"/>
      </w:tblPr>
      <w:tblGrid>
        <w:gridCol w:w="1240"/>
        <w:gridCol w:w="2464"/>
      </w:tblGrid>
      <w:tr w:rsidR="00ED552B" w:rsidRPr="004212F2" w14:paraId="6F1B05E0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F46A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4F0A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Spend Version</w:t>
            </w:r>
          </w:p>
        </w:tc>
      </w:tr>
      <w:tr w:rsidR="00ED552B" w:rsidRPr="004212F2" w14:paraId="74F82FEF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5B02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946A6" w14:textId="77777777" w:rsidR="00ED552B" w:rsidRDefault="00EB0A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9.5.0.6</w:t>
            </w:r>
          </w:p>
        </w:tc>
      </w:tr>
      <w:tr w:rsidR="00ED552B" w:rsidRPr="004212F2" w14:paraId="27E8413B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D7A9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567B4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ED552B" w:rsidRPr="004212F2" w14:paraId="20E212DE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29EF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483D2" w14:textId="32DB2DFB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10.0.0.1</w:t>
            </w:r>
            <w:r w:rsidR="001055A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</w:t>
            </w:r>
            <w:r w:rsidR="00E5063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ED552B" w:rsidRPr="004212F2" w14:paraId="57F6122F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80A1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59E1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10.0.1.1 iFix1</w:t>
            </w:r>
          </w:p>
        </w:tc>
      </w:tr>
      <w:tr w:rsidR="00ED552B" w:rsidRPr="004212F2" w14:paraId="13DF1C65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823F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57751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10.0.1.2 iFix2</w:t>
            </w:r>
          </w:p>
        </w:tc>
      </w:tr>
      <w:tr w:rsidR="00ED552B" w:rsidRPr="004212F2" w14:paraId="62A5E993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0A7B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C0EF0" w14:textId="77777777" w:rsidR="00ED552B" w:rsidRPr="00147CF5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7CF5">
              <w:rPr>
                <w:rFonts w:ascii="Calibri" w:hAnsi="Calibri" w:cs="Calibri"/>
                <w:color w:val="000000"/>
                <w:sz w:val="22"/>
                <w:szCs w:val="22"/>
              </w:rPr>
              <w:t>10.0.1.3</w:t>
            </w:r>
            <w:r w:rsidR="00A80A7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iFix2</w:t>
            </w:r>
          </w:p>
        </w:tc>
      </w:tr>
      <w:tr w:rsidR="00ED552B" w:rsidRPr="004212F2" w14:paraId="0ECFDDA2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84D2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2CA6" w14:textId="61F0B8F6" w:rsidR="00ED552B" w:rsidRDefault="001C09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10.0.1.4</w:t>
            </w:r>
            <w:r w:rsidR="00E506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iFix3</w:t>
            </w:r>
          </w:p>
        </w:tc>
      </w:tr>
      <w:tr w:rsidR="00ED552B" w:rsidRPr="004212F2" w14:paraId="69ADA0F6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571B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9D0B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ED552B" w:rsidRPr="004212F2" w14:paraId="5E1D62F6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E1D9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90B8F" w14:textId="77777777" w:rsidR="00ED552B" w:rsidRDefault="001E2C0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10.0.2.0 iFix6</w:t>
            </w:r>
          </w:p>
        </w:tc>
      </w:tr>
      <w:tr w:rsidR="00ED552B" w:rsidRPr="004212F2" w14:paraId="34A139C9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546E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5CA5E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ED552B" w:rsidRPr="004212F2" w14:paraId="2B9F4C0D" w14:textId="77777777" w:rsidTr="00EB0A7F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B25B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11AD6" w14:textId="77777777" w:rsidR="00ED552B" w:rsidRDefault="000705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10.0.2.2 iFix3</w:t>
            </w:r>
          </w:p>
        </w:tc>
      </w:tr>
      <w:tr w:rsidR="00ED552B" w:rsidRPr="004212F2" w14:paraId="4B742810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4D11" w14:textId="77777777" w:rsidR="00ED552B" w:rsidRPr="004212F2" w:rsidRDefault="00ED552B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A3D73" w14:textId="77777777" w:rsidR="00ED552B" w:rsidRDefault="00ED55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Upgrade not allowed</w:t>
            </w:r>
          </w:p>
        </w:tc>
      </w:tr>
      <w:tr w:rsidR="001C0953" w:rsidRPr="004212F2" w14:paraId="43DD97A7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CBFF" w14:textId="77777777" w:rsidR="001C0953" w:rsidRDefault="001C0953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6BDBD8" w14:textId="77777777" w:rsidR="001C0953" w:rsidRDefault="001C09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10.0.2.4</w:t>
            </w:r>
          </w:p>
        </w:tc>
      </w:tr>
      <w:tr w:rsidR="00ED552B" w:rsidRPr="004212F2" w14:paraId="35BD972F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FC5A0" w14:textId="77777777" w:rsidR="00ED552B" w:rsidRPr="004212F2" w:rsidRDefault="001C0953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D4A71" w14:textId="77777777" w:rsidR="00ED552B" w:rsidRDefault="001C09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10.0.2.5</w:t>
            </w:r>
            <w:r w:rsidR="00B7334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iFix2</w:t>
            </w:r>
          </w:p>
        </w:tc>
      </w:tr>
      <w:tr w:rsidR="00255C60" w:rsidRPr="004212F2" w14:paraId="36E94CBA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DC083" w14:textId="77777777" w:rsidR="00255C60" w:rsidRDefault="00255C60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F44A5" w14:textId="77777777" w:rsidR="00255C60" w:rsidRDefault="00255C6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10.0.2.6</w:t>
            </w:r>
            <w:r w:rsidR="00B7334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iFix1</w:t>
            </w:r>
          </w:p>
        </w:tc>
      </w:tr>
      <w:tr w:rsidR="00B631A2" w:rsidRPr="004212F2" w14:paraId="0C548FE4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4CCB" w14:textId="77777777" w:rsidR="00B631A2" w:rsidRDefault="00B631A2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5BDDB1" w14:textId="77777777" w:rsidR="00B631A2" w:rsidRDefault="00B631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10.0.2.7 iFix1</w:t>
            </w:r>
          </w:p>
        </w:tc>
      </w:tr>
      <w:tr w:rsidR="007F6FE3" w:rsidRPr="004212F2" w14:paraId="0B284A9D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AD373" w14:textId="2BC61B2B" w:rsidR="007F6FE3" w:rsidRDefault="007F6FE3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ECF6D" w14:textId="07813BAC" w:rsidR="007F6FE3" w:rsidRDefault="007F6FE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10.0.2.8_iFix1</w:t>
            </w:r>
          </w:p>
        </w:tc>
      </w:tr>
      <w:tr w:rsidR="00EB0A7F" w:rsidRPr="004212F2" w14:paraId="792F14F8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E756" w14:textId="6C130E85" w:rsidR="00EB0A7F" w:rsidRDefault="00933089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5788FC" w14:textId="3A560468" w:rsidR="00EB0A7F" w:rsidRDefault="001035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10.0.2.15</w:t>
            </w:r>
          </w:p>
        </w:tc>
      </w:tr>
      <w:tr w:rsidR="00EB0A7F" w:rsidRPr="004212F2" w14:paraId="32ED9874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45DBD" w14:textId="76B0F9F6" w:rsidR="00EB0A7F" w:rsidRDefault="00EB0A7F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CCE803" w14:textId="41F02662" w:rsidR="00EB0A7F" w:rsidRDefault="00E506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10.0.4.0 iFix6</w:t>
            </w:r>
          </w:p>
        </w:tc>
      </w:tr>
      <w:tr w:rsidR="008E6CBF" w:rsidRPr="004212F2" w14:paraId="627D5301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5456" w14:textId="1208EA37" w:rsidR="008E6CBF" w:rsidRDefault="008E6CBF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AF41D4" w14:textId="4D0B3D48" w:rsidR="008E6CBF" w:rsidRDefault="00B67F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10.1.0.13</w:t>
            </w:r>
          </w:p>
        </w:tc>
      </w:tr>
      <w:tr w:rsidR="00572D93" w:rsidRPr="004212F2" w14:paraId="22F62F89" w14:textId="77777777" w:rsidTr="00EB0A7F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BE42" w14:textId="5AF4A46E" w:rsidR="00572D93" w:rsidRDefault="00572D93" w:rsidP="00973BA0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10.1.1.x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4DCC4" w14:textId="6033E635" w:rsidR="00572D93" w:rsidRDefault="00572D93" w:rsidP="009E76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10.1.1.</w:t>
            </w:r>
            <w:r w:rsidR="006A4DC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D562B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</w:tbl>
    <w:p w14:paraId="5FFE5A0E" w14:textId="77777777" w:rsidR="008B36C6" w:rsidRDefault="008B36C6" w:rsidP="005A3773">
      <w:pPr>
        <w:ind w:right="1584"/>
        <w:rPr>
          <w:rFonts w:ascii="Calibri" w:hAnsi="Calibri" w:cs="Calibri"/>
          <w:color w:val="000000"/>
          <w:sz w:val="24"/>
          <w:szCs w:val="24"/>
        </w:rPr>
      </w:pPr>
    </w:p>
    <w:p w14:paraId="18F330AA" w14:textId="43D36F82" w:rsidR="00973BA0" w:rsidRPr="00973BA0" w:rsidRDefault="00973BA0" w:rsidP="00104020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i/>
          <w:color w:val="000000"/>
          <w:sz w:val="24"/>
          <w:szCs w:val="24"/>
        </w:rPr>
      </w:pPr>
      <w:r>
        <w:rPr>
          <w:rFonts w:ascii="Helvetica" w:hAnsi="Helvetica" w:cs="Helvetica"/>
          <w:color w:val="121212"/>
          <w:sz w:val="18"/>
          <w:szCs w:val="18"/>
        </w:rPr>
        <w:br/>
      </w:r>
    </w:p>
    <w:sectPr w:rsidR="00973BA0" w:rsidRPr="00973BA0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2F0A8" w14:textId="77777777" w:rsidR="00282038" w:rsidRDefault="00282038" w:rsidP="00A558DB">
      <w:r>
        <w:separator/>
      </w:r>
    </w:p>
  </w:endnote>
  <w:endnote w:type="continuationSeparator" w:id="0">
    <w:p w14:paraId="3C350A55" w14:textId="77777777" w:rsidR="00282038" w:rsidRDefault="00282038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4197B" w14:textId="2D9F5DD1" w:rsidR="00973BA0" w:rsidRPr="009A5B8B" w:rsidRDefault="00973BA0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7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5B1524">
      <w:rPr>
        <w:rFonts w:ascii="Calibri" w:hAnsi="Calibri" w:cs="Calibri"/>
        <w:noProof/>
        <w:color w:val="0000FF"/>
        <w:sz w:val="22"/>
        <w:szCs w:val="22"/>
      </w:rPr>
      <w:t>4</w:t>
    </w:r>
    <w:r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AEF0B" w14:textId="77777777" w:rsidR="00282038" w:rsidRDefault="00282038" w:rsidP="00A558DB">
      <w:r>
        <w:separator/>
      </w:r>
    </w:p>
  </w:footnote>
  <w:footnote w:type="continuationSeparator" w:id="0">
    <w:p w14:paraId="37A2533C" w14:textId="77777777" w:rsidR="00282038" w:rsidRDefault="00282038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973BA0" w:rsidRPr="00A558DB" w14:paraId="3DF38774" w14:textId="77777777" w:rsidTr="00A558DB">
      <w:trPr>
        <w:tblCellSpacing w:w="15" w:type="dxa"/>
      </w:trPr>
      <w:tc>
        <w:tcPr>
          <w:tcW w:w="0" w:type="auto"/>
        </w:tcPr>
        <w:p w14:paraId="39E5BF95" w14:textId="77777777" w:rsidR="00973BA0" w:rsidRPr="00A558DB" w:rsidRDefault="00973BA0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42A03C31" w14:textId="77777777" w:rsidR="00973BA0" w:rsidRDefault="00973B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07394"/>
    <w:rsid w:val="00011FE3"/>
    <w:rsid w:val="000154D9"/>
    <w:rsid w:val="000258EA"/>
    <w:rsid w:val="00053374"/>
    <w:rsid w:val="00053A1D"/>
    <w:rsid w:val="00065A89"/>
    <w:rsid w:val="000664F6"/>
    <w:rsid w:val="00070559"/>
    <w:rsid w:val="000862F3"/>
    <w:rsid w:val="000905FB"/>
    <w:rsid w:val="000A152F"/>
    <w:rsid w:val="000A4EE9"/>
    <w:rsid w:val="000A6E3C"/>
    <w:rsid w:val="000B69AC"/>
    <w:rsid w:val="000D0191"/>
    <w:rsid w:val="000D0743"/>
    <w:rsid w:val="000F1BD7"/>
    <w:rsid w:val="001035C8"/>
    <w:rsid w:val="00104020"/>
    <w:rsid w:val="001055A8"/>
    <w:rsid w:val="00111C24"/>
    <w:rsid w:val="00123160"/>
    <w:rsid w:val="001249C0"/>
    <w:rsid w:val="00141540"/>
    <w:rsid w:val="001448A7"/>
    <w:rsid w:val="00147CF5"/>
    <w:rsid w:val="00152F45"/>
    <w:rsid w:val="00170812"/>
    <w:rsid w:val="0017107B"/>
    <w:rsid w:val="0017451F"/>
    <w:rsid w:val="001869F5"/>
    <w:rsid w:val="00196C03"/>
    <w:rsid w:val="001C0953"/>
    <w:rsid w:val="001C5C3A"/>
    <w:rsid w:val="001D1120"/>
    <w:rsid w:val="001D5453"/>
    <w:rsid w:val="001E2C08"/>
    <w:rsid w:val="001E6C96"/>
    <w:rsid w:val="002046E8"/>
    <w:rsid w:val="00211EB7"/>
    <w:rsid w:val="00241996"/>
    <w:rsid w:val="00244409"/>
    <w:rsid w:val="0024518E"/>
    <w:rsid w:val="002532E3"/>
    <w:rsid w:val="00255C60"/>
    <w:rsid w:val="0027001C"/>
    <w:rsid w:val="00274C26"/>
    <w:rsid w:val="0027751D"/>
    <w:rsid w:val="00282038"/>
    <w:rsid w:val="002852AF"/>
    <w:rsid w:val="00292487"/>
    <w:rsid w:val="002A2E47"/>
    <w:rsid w:val="002A3FD5"/>
    <w:rsid w:val="002A6F64"/>
    <w:rsid w:val="002B44BE"/>
    <w:rsid w:val="002C0A28"/>
    <w:rsid w:val="002C3B4F"/>
    <w:rsid w:val="002C58EA"/>
    <w:rsid w:val="002E78BF"/>
    <w:rsid w:val="002F3EB5"/>
    <w:rsid w:val="002F5DF4"/>
    <w:rsid w:val="00302309"/>
    <w:rsid w:val="00304991"/>
    <w:rsid w:val="0031201E"/>
    <w:rsid w:val="00317246"/>
    <w:rsid w:val="003243BB"/>
    <w:rsid w:val="00327D44"/>
    <w:rsid w:val="00335290"/>
    <w:rsid w:val="00340D01"/>
    <w:rsid w:val="00346375"/>
    <w:rsid w:val="0036097D"/>
    <w:rsid w:val="0036611F"/>
    <w:rsid w:val="00391AE5"/>
    <w:rsid w:val="003954ED"/>
    <w:rsid w:val="003B748B"/>
    <w:rsid w:val="003D1405"/>
    <w:rsid w:val="003D1E9F"/>
    <w:rsid w:val="003D2344"/>
    <w:rsid w:val="003D5507"/>
    <w:rsid w:val="003E5FE8"/>
    <w:rsid w:val="00404D85"/>
    <w:rsid w:val="00405A79"/>
    <w:rsid w:val="00415452"/>
    <w:rsid w:val="004275F4"/>
    <w:rsid w:val="0042770D"/>
    <w:rsid w:val="0043287E"/>
    <w:rsid w:val="0043386D"/>
    <w:rsid w:val="00482BCD"/>
    <w:rsid w:val="00496015"/>
    <w:rsid w:val="004A15BD"/>
    <w:rsid w:val="004A222A"/>
    <w:rsid w:val="004A5570"/>
    <w:rsid w:val="004B2EEE"/>
    <w:rsid w:val="004C3D18"/>
    <w:rsid w:val="004C4AA8"/>
    <w:rsid w:val="004D1AE9"/>
    <w:rsid w:val="004D517E"/>
    <w:rsid w:val="004D51E1"/>
    <w:rsid w:val="004E18DF"/>
    <w:rsid w:val="004E535D"/>
    <w:rsid w:val="004F0E9D"/>
    <w:rsid w:val="004F7F9D"/>
    <w:rsid w:val="00500787"/>
    <w:rsid w:val="005018C8"/>
    <w:rsid w:val="00503ADA"/>
    <w:rsid w:val="0051216C"/>
    <w:rsid w:val="00522E2A"/>
    <w:rsid w:val="005232D3"/>
    <w:rsid w:val="00524479"/>
    <w:rsid w:val="00547A20"/>
    <w:rsid w:val="00555E66"/>
    <w:rsid w:val="00572D93"/>
    <w:rsid w:val="005807D6"/>
    <w:rsid w:val="00583478"/>
    <w:rsid w:val="0058660D"/>
    <w:rsid w:val="00593A1B"/>
    <w:rsid w:val="005A3773"/>
    <w:rsid w:val="005B1524"/>
    <w:rsid w:val="005B26EC"/>
    <w:rsid w:val="005B70A3"/>
    <w:rsid w:val="005C1D7C"/>
    <w:rsid w:val="005C41DF"/>
    <w:rsid w:val="005C7EB1"/>
    <w:rsid w:val="005D0AFB"/>
    <w:rsid w:val="005D2EAF"/>
    <w:rsid w:val="005E1E02"/>
    <w:rsid w:val="005E5A5F"/>
    <w:rsid w:val="005E7725"/>
    <w:rsid w:val="005F5051"/>
    <w:rsid w:val="005F6A2E"/>
    <w:rsid w:val="00613612"/>
    <w:rsid w:val="00630B0D"/>
    <w:rsid w:val="006334B9"/>
    <w:rsid w:val="00633D6C"/>
    <w:rsid w:val="006373A5"/>
    <w:rsid w:val="006414B5"/>
    <w:rsid w:val="00641A03"/>
    <w:rsid w:val="00645B62"/>
    <w:rsid w:val="00663354"/>
    <w:rsid w:val="0067642B"/>
    <w:rsid w:val="006A4DCB"/>
    <w:rsid w:val="006B145B"/>
    <w:rsid w:val="006B30B7"/>
    <w:rsid w:val="006B4C00"/>
    <w:rsid w:val="006C175F"/>
    <w:rsid w:val="006C467E"/>
    <w:rsid w:val="006D780E"/>
    <w:rsid w:val="006E0EED"/>
    <w:rsid w:val="006E11FB"/>
    <w:rsid w:val="006E12A0"/>
    <w:rsid w:val="006E1E56"/>
    <w:rsid w:val="006E777F"/>
    <w:rsid w:val="006F4ECC"/>
    <w:rsid w:val="00702600"/>
    <w:rsid w:val="0071189B"/>
    <w:rsid w:val="00712283"/>
    <w:rsid w:val="0071278F"/>
    <w:rsid w:val="00713705"/>
    <w:rsid w:val="00714DEC"/>
    <w:rsid w:val="0071680A"/>
    <w:rsid w:val="007330CE"/>
    <w:rsid w:val="00737340"/>
    <w:rsid w:val="007508E7"/>
    <w:rsid w:val="007512C8"/>
    <w:rsid w:val="0075478D"/>
    <w:rsid w:val="00756BD9"/>
    <w:rsid w:val="00770B0E"/>
    <w:rsid w:val="00771127"/>
    <w:rsid w:val="0077355A"/>
    <w:rsid w:val="00775AC1"/>
    <w:rsid w:val="007769A6"/>
    <w:rsid w:val="00783DF8"/>
    <w:rsid w:val="007857A4"/>
    <w:rsid w:val="00787C96"/>
    <w:rsid w:val="007A1E33"/>
    <w:rsid w:val="007B1859"/>
    <w:rsid w:val="007B18ED"/>
    <w:rsid w:val="007B69DA"/>
    <w:rsid w:val="007C55C7"/>
    <w:rsid w:val="007C5B85"/>
    <w:rsid w:val="007C7293"/>
    <w:rsid w:val="007D24B0"/>
    <w:rsid w:val="007D5185"/>
    <w:rsid w:val="007D61B9"/>
    <w:rsid w:val="007E1176"/>
    <w:rsid w:val="007E1C41"/>
    <w:rsid w:val="007F5CF5"/>
    <w:rsid w:val="007F6243"/>
    <w:rsid w:val="007F6FE3"/>
    <w:rsid w:val="008011EA"/>
    <w:rsid w:val="008045C9"/>
    <w:rsid w:val="008048B4"/>
    <w:rsid w:val="008061A9"/>
    <w:rsid w:val="00814982"/>
    <w:rsid w:val="00815EEC"/>
    <w:rsid w:val="0082058C"/>
    <w:rsid w:val="008273AC"/>
    <w:rsid w:val="0083225D"/>
    <w:rsid w:val="00840D98"/>
    <w:rsid w:val="00846223"/>
    <w:rsid w:val="00851DFD"/>
    <w:rsid w:val="00866220"/>
    <w:rsid w:val="00874036"/>
    <w:rsid w:val="00891D8D"/>
    <w:rsid w:val="008A7E24"/>
    <w:rsid w:val="008B36C6"/>
    <w:rsid w:val="008B5B53"/>
    <w:rsid w:val="008D130B"/>
    <w:rsid w:val="008E6CBF"/>
    <w:rsid w:val="00902F07"/>
    <w:rsid w:val="00914749"/>
    <w:rsid w:val="009157F1"/>
    <w:rsid w:val="009311A8"/>
    <w:rsid w:val="00933089"/>
    <w:rsid w:val="00934A2B"/>
    <w:rsid w:val="0094212A"/>
    <w:rsid w:val="00945443"/>
    <w:rsid w:val="009502F9"/>
    <w:rsid w:val="00950E79"/>
    <w:rsid w:val="0095248B"/>
    <w:rsid w:val="00973BA0"/>
    <w:rsid w:val="00983D6A"/>
    <w:rsid w:val="00986D33"/>
    <w:rsid w:val="0098711E"/>
    <w:rsid w:val="009A5B8B"/>
    <w:rsid w:val="009A5F8B"/>
    <w:rsid w:val="009D7F3F"/>
    <w:rsid w:val="009E12B6"/>
    <w:rsid w:val="009E7646"/>
    <w:rsid w:val="009F54BE"/>
    <w:rsid w:val="00A10FBF"/>
    <w:rsid w:val="00A13CF6"/>
    <w:rsid w:val="00A3474B"/>
    <w:rsid w:val="00A40ECE"/>
    <w:rsid w:val="00A558DB"/>
    <w:rsid w:val="00A60D75"/>
    <w:rsid w:val="00A7258F"/>
    <w:rsid w:val="00A74EBB"/>
    <w:rsid w:val="00A8037E"/>
    <w:rsid w:val="00A80A74"/>
    <w:rsid w:val="00A83F3A"/>
    <w:rsid w:val="00A8584A"/>
    <w:rsid w:val="00AB3509"/>
    <w:rsid w:val="00AC0CAB"/>
    <w:rsid w:val="00AC4FBE"/>
    <w:rsid w:val="00AD68DF"/>
    <w:rsid w:val="00AE1200"/>
    <w:rsid w:val="00AF5257"/>
    <w:rsid w:val="00B025EA"/>
    <w:rsid w:val="00B16F72"/>
    <w:rsid w:val="00B23A3A"/>
    <w:rsid w:val="00B2506B"/>
    <w:rsid w:val="00B42786"/>
    <w:rsid w:val="00B52F28"/>
    <w:rsid w:val="00B631A2"/>
    <w:rsid w:val="00B655E5"/>
    <w:rsid w:val="00B67F39"/>
    <w:rsid w:val="00B73341"/>
    <w:rsid w:val="00B81AEB"/>
    <w:rsid w:val="00B82FBF"/>
    <w:rsid w:val="00B84E86"/>
    <w:rsid w:val="00B91DD0"/>
    <w:rsid w:val="00B92D97"/>
    <w:rsid w:val="00B940B7"/>
    <w:rsid w:val="00B943D8"/>
    <w:rsid w:val="00B9443D"/>
    <w:rsid w:val="00B965A6"/>
    <w:rsid w:val="00B9698D"/>
    <w:rsid w:val="00BA1F88"/>
    <w:rsid w:val="00BB3B40"/>
    <w:rsid w:val="00BB747A"/>
    <w:rsid w:val="00BB79CE"/>
    <w:rsid w:val="00BC27E6"/>
    <w:rsid w:val="00BE005D"/>
    <w:rsid w:val="00BE5C18"/>
    <w:rsid w:val="00C01E95"/>
    <w:rsid w:val="00C20972"/>
    <w:rsid w:val="00C35B36"/>
    <w:rsid w:val="00C36734"/>
    <w:rsid w:val="00C44ED1"/>
    <w:rsid w:val="00C70D2E"/>
    <w:rsid w:val="00C7146D"/>
    <w:rsid w:val="00C73B82"/>
    <w:rsid w:val="00C74D3D"/>
    <w:rsid w:val="00C76173"/>
    <w:rsid w:val="00C764BF"/>
    <w:rsid w:val="00C7783B"/>
    <w:rsid w:val="00C847A0"/>
    <w:rsid w:val="00C85F3A"/>
    <w:rsid w:val="00C86292"/>
    <w:rsid w:val="00C871B3"/>
    <w:rsid w:val="00CA6D14"/>
    <w:rsid w:val="00CA7F1A"/>
    <w:rsid w:val="00CB2542"/>
    <w:rsid w:val="00CB5984"/>
    <w:rsid w:val="00CC4DED"/>
    <w:rsid w:val="00CC73F6"/>
    <w:rsid w:val="00CE0E60"/>
    <w:rsid w:val="00CF69C6"/>
    <w:rsid w:val="00D048F6"/>
    <w:rsid w:val="00D23EEF"/>
    <w:rsid w:val="00D24046"/>
    <w:rsid w:val="00D339CD"/>
    <w:rsid w:val="00D4202C"/>
    <w:rsid w:val="00D43622"/>
    <w:rsid w:val="00D46BB1"/>
    <w:rsid w:val="00D47561"/>
    <w:rsid w:val="00D523A3"/>
    <w:rsid w:val="00D529FD"/>
    <w:rsid w:val="00D54E5E"/>
    <w:rsid w:val="00D562B6"/>
    <w:rsid w:val="00D57E8C"/>
    <w:rsid w:val="00D67F0E"/>
    <w:rsid w:val="00D76B10"/>
    <w:rsid w:val="00D93865"/>
    <w:rsid w:val="00D93F92"/>
    <w:rsid w:val="00DA1DAF"/>
    <w:rsid w:val="00DB000B"/>
    <w:rsid w:val="00DB0649"/>
    <w:rsid w:val="00DB5675"/>
    <w:rsid w:val="00DC02FC"/>
    <w:rsid w:val="00DC5E7E"/>
    <w:rsid w:val="00DD0FBF"/>
    <w:rsid w:val="00DD2BA7"/>
    <w:rsid w:val="00DD4372"/>
    <w:rsid w:val="00DF2431"/>
    <w:rsid w:val="00E15983"/>
    <w:rsid w:val="00E255CB"/>
    <w:rsid w:val="00E25694"/>
    <w:rsid w:val="00E35F80"/>
    <w:rsid w:val="00E361B6"/>
    <w:rsid w:val="00E50638"/>
    <w:rsid w:val="00E56849"/>
    <w:rsid w:val="00E739A2"/>
    <w:rsid w:val="00E75B72"/>
    <w:rsid w:val="00E7626F"/>
    <w:rsid w:val="00E82659"/>
    <w:rsid w:val="00E83952"/>
    <w:rsid w:val="00E8534B"/>
    <w:rsid w:val="00E85CA3"/>
    <w:rsid w:val="00EA09AA"/>
    <w:rsid w:val="00EB0A7F"/>
    <w:rsid w:val="00EB63ED"/>
    <w:rsid w:val="00EB7367"/>
    <w:rsid w:val="00EC2016"/>
    <w:rsid w:val="00EC3058"/>
    <w:rsid w:val="00ED00E1"/>
    <w:rsid w:val="00ED552B"/>
    <w:rsid w:val="00EF255E"/>
    <w:rsid w:val="00EF55B3"/>
    <w:rsid w:val="00F11C92"/>
    <w:rsid w:val="00F2239A"/>
    <w:rsid w:val="00F30291"/>
    <w:rsid w:val="00F305BF"/>
    <w:rsid w:val="00F36143"/>
    <w:rsid w:val="00F378E5"/>
    <w:rsid w:val="00F4538C"/>
    <w:rsid w:val="00F464FA"/>
    <w:rsid w:val="00F57D94"/>
    <w:rsid w:val="00F67279"/>
    <w:rsid w:val="00F73BF6"/>
    <w:rsid w:val="00F77051"/>
    <w:rsid w:val="00F815DF"/>
    <w:rsid w:val="00F8630B"/>
    <w:rsid w:val="00F9288E"/>
    <w:rsid w:val="00FA3355"/>
    <w:rsid w:val="00FB5A71"/>
    <w:rsid w:val="00FC23FC"/>
    <w:rsid w:val="00FD2499"/>
    <w:rsid w:val="00FD25EF"/>
    <w:rsid w:val="00FD5912"/>
    <w:rsid w:val="00FF0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35E31F"/>
  <w15:docId w15:val="{2AD7AC8C-F132-4F62-833C-F895CD0B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locked/>
    <w:rsid w:val="008B36C6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  <w:style w:type="character" w:customStyle="1" w:styleId="left">
    <w:name w:val="left"/>
    <w:basedOn w:val="DefaultParagraphFont"/>
    <w:rsid w:val="00AE1200"/>
  </w:style>
  <w:style w:type="character" w:customStyle="1" w:styleId="Heading2Char">
    <w:name w:val="Heading 2 Char"/>
    <w:basedOn w:val="DefaultParagraphFont"/>
    <w:link w:val="Heading2"/>
    <w:uiPriority w:val="9"/>
    <w:rsid w:val="008B36C6"/>
    <w:rPr>
      <w:rFonts w:ascii="Times New Roman" w:eastAsia="Times New Roman" w:hAnsi="Times New Roman"/>
      <w:b/>
      <w:bCs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775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AC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AC1"/>
    <w:rPr>
      <w:rFonts w:ascii="Times New Roman" w:eastAsia="MS Mincho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AC1"/>
    <w:rPr>
      <w:rFonts w:ascii="Times New Roman" w:eastAsia="MS Mincho" w:hAnsi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943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hyperlink" Target="https://www.ibm.com/support/knowledgecenter/SSYQ72_10.1.1/com.ibm.help.empinstall_planning.doc/R_SuiteCompatibilityMatrix101120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-01.ibm.com/support/docview.wss?uid=swg2131765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\\burbuildrepo.dub.usoh.ibm.com\Spend_Analyzer\gold_builds\10.1.1.x\%3cbuild_n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-01.ibm.com/support/knowledgecenter/SSYQ72_10.0.2/com.ibm.help.ssm.home.doc/ssm_welcom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m.com/support/fixcentral" TargetMode="External"/><Relationship Id="rId14" Type="http://schemas.openxmlformats.org/officeDocument/2006/relationships/hyperlink" Target="https://www.ibm.com/support/knowledgecenter/SSYQAR_10.1.1/com.ibm.help.esa_releasenotes.doc/c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2AA80-F714-4244-B2CE-DB3E19F29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Bala Gazula</dc:creator>
  <cp:lastModifiedBy>rimmib</cp:lastModifiedBy>
  <cp:revision>62</cp:revision>
  <dcterms:created xsi:type="dcterms:W3CDTF">2017-06-28T10:14:00Z</dcterms:created>
  <dcterms:modified xsi:type="dcterms:W3CDTF">2018-04-25T07:09:00Z</dcterms:modified>
</cp:coreProperties>
</file>