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C9D3C3F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345329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2E3D9C2D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1505ACCE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5267F6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F06993">
              <w:rPr>
                <w:rFonts w:ascii="Calibri" w:hAnsi="Calibri" w:cs="Calibri"/>
                <w:b/>
                <w:noProof/>
                <w:sz w:val="30"/>
                <w:szCs w:val="30"/>
              </w:rPr>
              <w:t>10.0.2.17_iFix1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75E21400" w:rsidR="005E3EEB" w:rsidRPr="00B16F72" w:rsidRDefault="00F06993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10.0.2.17_iFix1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4EE59684" w:rsidR="005E3EEB" w:rsidRPr="00B16F72" w:rsidRDefault="008E1755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SD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6"/>
        <w:gridCol w:w="4120"/>
        <w:gridCol w:w="5054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52912E30" w:rsidR="007B3202" w:rsidRPr="00436925" w:rsidRDefault="003973B8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F06993">
              <w:rPr>
                <w:rFonts w:ascii="Calibri" w:hAnsi="Calibri" w:cs="Calibri"/>
                <w:bCs/>
                <w:i/>
                <w:sz w:val="24"/>
                <w:szCs w:val="24"/>
              </w:rPr>
              <w:t>10.0.2.17_iFix1</w:t>
            </w:r>
            <w:r w:rsidR="000A1BE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06993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782456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32965535" w:rsidR="000B448B" w:rsidRPr="000B448B" w:rsidRDefault="00484B76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782456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724785C" w14:textId="4225193F" w:rsidR="00AE556C" w:rsidRDefault="003973B8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F06993">
              <w:rPr>
                <w:rFonts w:ascii="Calibri" w:hAnsi="Calibri" w:cs="Calibri"/>
                <w:bCs/>
                <w:i/>
                <w:sz w:val="24"/>
                <w:szCs w:val="24"/>
              </w:rPr>
              <w:t>10.0.2.17_iFix1</w:t>
            </w:r>
            <w:r w:rsidR="000A1BE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06993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154ACAC5" w14:textId="3B0F9187" w:rsidR="002E5066" w:rsidRPr="00B075E2" w:rsidRDefault="006800ED" w:rsidP="009E458B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F06993">
              <w:rPr>
                <w:rFonts w:ascii="Calibri" w:hAnsi="Calibri" w:cs="Calibri"/>
                <w:i/>
                <w:sz w:val="24"/>
                <w:szCs w:val="24"/>
              </w:rPr>
              <w:t>10.0.2.17_iFix1</w:t>
            </w:r>
            <w:r w:rsidR="000A1BE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F06993">
              <w:rPr>
                <w:rFonts w:ascii="Calibri" w:hAnsi="Calibri" w:cs="Calibri"/>
                <w:i/>
                <w:sz w:val="24"/>
                <w:szCs w:val="24"/>
              </w:rPr>
              <w:t>8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_UCD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.zip </w:t>
            </w:r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For </w:t>
            </w:r>
            <w:proofErr w:type="spellStart"/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>UrbanCodeDeploy</w:t>
            </w:r>
            <w:proofErr w:type="spellEnd"/>
            <w:r w:rsidR="00B075E2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782456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3D4A1378" w14:textId="69E6FE7D" w:rsidR="00B24F61" w:rsidRDefault="00B24F61" w:rsidP="00B24F61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F06993">
              <w:rPr>
                <w:rFonts w:ascii="Calibri" w:hAnsi="Calibri" w:cs="Calibri"/>
                <w:bCs/>
                <w:i/>
                <w:sz w:val="24"/>
                <w:szCs w:val="24"/>
              </w:rPr>
              <w:t>10.0.2.17_iFix1</w:t>
            </w:r>
            <w:r w:rsidR="000A1BE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06993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5DD9A4AE" w14:textId="5B9EA93C" w:rsidR="00B24F61" w:rsidRDefault="00B24F61" w:rsidP="00B24F6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F06993">
              <w:rPr>
                <w:rFonts w:ascii="Calibri" w:hAnsi="Calibri" w:cs="Calibri"/>
                <w:bCs/>
                <w:i/>
                <w:sz w:val="24"/>
                <w:szCs w:val="24"/>
              </w:rPr>
              <w:t>10.0.2.17_iFix1</w:t>
            </w:r>
            <w:r w:rsidR="000A1BE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06993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Pr="00B075E2">
              <w:rPr>
                <w:rFonts w:ascii="Calibri" w:hAnsi="Calibri" w:cs="Calibri"/>
                <w:i/>
                <w:sz w:val="24"/>
                <w:szCs w:val="24"/>
              </w:rPr>
              <w:t>_UCD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.zip </w:t>
            </w:r>
            <w:r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For </w:t>
            </w:r>
            <w:proofErr w:type="spellStart"/>
            <w:r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  <w:p w14:paraId="75B976F8" w14:textId="77777777" w:rsidR="005E3EEB" w:rsidRDefault="005E3EEB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503580CA" w14:textId="5A899D0C" w:rsidR="00D60197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57323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For UCD deployment of current release </w:t>
            </w:r>
            <w:r w:rsidR="00F0699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10.0.2.17_iFix1</w:t>
            </w:r>
            <w:r w:rsidRPr="0057323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 the minimum product version should be 10.0.2.12</w:t>
            </w:r>
          </w:p>
          <w:p w14:paraId="5D53576A" w14:textId="77777777" w:rsidR="00D60197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4D726DBA" w14:textId="2F9AB660" w:rsidR="00D60197" w:rsidRPr="00B16F72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5231ED75" w:rsidR="003D06CA" w:rsidRPr="00B16F72" w:rsidRDefault="00782456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35C9ABBE" w14:textId="77777777" w:rsidR="00536E35" w:rsidRPr="004D31C2" w:rsidRDefault="00536E35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0A38156D" w14:textId="77777777" w:rsidR="00536E35" w:rsidRDefault="00536E35" w:rsidP="00536E35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8"/>
          <w:szCs w:val="28"/>
          <w:lang w:val="en"/>
        </w:rPr>
      </w:pPr>
      <w:r>
        <w:rPr>
          <w:rFonts w:ascii="Calibri" w:eastAsia="Calibri" w:hAnsi="Calibri" w:cs="Calibri"/>
          <w:b/>
          <w:bCs/>
          <w:sz w:val="28"/>
          <w:szCs w:val="28"/>
          <w:lang w:val="en"/>
        </w:rPr>
        <w:t>Special Instructions for Customer / Application Management team:</w:t>
      </w:r>
    </w:p>
    <w:p w14:paraId="249AB397" w14:textId="70DA2859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For UCD deployment of current release </w:t>
      </w:r>
      <w:r w:rsidR="00F06993">
        <w:rPr>
          <w:rFonts w:ascii="Calibri" w:eastAsia="Calibri" w:hAnsi="Calibri" w:cs="Calibri"/>
          <w:color w:val="000000"/>
          <w:sz w:val="24"/>
          <w:szCs w:val="24"/>
          <w:lang w:val="en"/>
        </w:rPr>
        <w:t>10.0.2.17_iFix1</w:t>
      </w: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, the minimum product version should be 10.0.2.12.</w:t>
      </w:r>
    </w:p>
    <w:p w14:paraId="5DE87C26" w14:textId="77777777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For patching through UCD please make sure to have copied the “magic scripts” to the nodes as made available by the UCD team (Rocky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Karhe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). Failing which, the security fix given in this FP will not take effect, if the setup is upgraded via UCD.</w:t>
      </w:r>
    </w:p>
    <w:p w14:paraId="3AEFA4E8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</w:p>
    <w:p w14:paraId="16962FBA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1) Download the zip from link below and copy product specific files and files from common folder (extract_lin.sh[</w:t>
      </w:r>
      <w:proofErr w:type="spellStart"/>
      <w:r>
        <w:rPr>
          <w:rFonts w:ascii="Helv" w:eastAsia="Calibri" w:hAnsi="Helv" w:cs="Helv"/>
          <w:color w:val="000000"/>
          <w:lang w:val="en-IN"/>
        </w:rPr>
        <w:t>linux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] / extract_win.bat[windows] and </w:t>
      </w:r>
      <w:proofErr w:type="spellStart"/>
      <w:r>
        <w:rPr>
          <w:rFonts w:ascii="Helv" w:eastAsia="Calibri" w:hAnsi="Helv" w:cs="Helv"/>
          <w:color w:val="000000"/>
          <w:lang w:val="en-IN"/>
        </w:rPr>
        <w:t>path.properties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) in </w:t>
      </w:r>
      <w:proofErr w:type="spellStart"/>
      <w:r>
        <w:rPr>
          <w:rFonts w:ascii="Helv" w:eastAsia="Calibri" w:hAnsi="Helv" w:cs="Helv"/>
          <w:color w:val="000000"/>
          <w:lang w:val="en-IN"/>
        </w:rPr>
        <w:t>iFix_base_repo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. </w:t>
      </w:r>
    </w:p>
    <w:p w14:paraId="1AB1A513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</w:t>
      </w:r>
    </w:p>
    <w:p w14:paraId="2C168DB7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</w:t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  <w:t xml:space="preserve">  </w:t>
      </w:r>
      <w:hyperlink r:id="rId13" w:anchor="fullpageWidgetId=W2155d6f585e4_4c7f_9194_21c936a14e35&amp;file=4914e932-fc21-4f18-bbd0-0fcb79047168" w:history="1">
        <w:r>
          <w:rPr>
            <w:rFonts w:ascii="Helv" w:eastAsia="Calibri" w:hAnsi="Helv" w:cs="Helv"/>
            <w:color w:val="0000FF"/>
            <w:lang w:val="en-IN"/>
          </w:rPr>
          <w:t>Quick Drop Utility</w:t>
        </w:r>
      </w:hyperlink>
    </w:p>
    <w:p w14:paraId="784767B7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  </w:t>
      </w:r>
    </w:p>
    <w:p w14:paraId="6662C732" w14:textId="77777777" w:rsidR="00536E35" w:rsidRDefault="00536E35" w:rsidP="00536E35">
      <w:pPr>
        <w:autoSpaceDE w:val="0"/>
        <w:autoSpaceDN w:val="0"/>
        <w:adjustRightInd w:val="0"/>
        <w:ind w:left="720" w:firstLine="72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2) Verify impersonation setting as below.</w:t>
      </w:r>
    </w:p>
    <w:p w14:paraId="7680C2C5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</w:t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  <w:t>Go to Application &gt; Environment &gt; View Agent &gt; Configuration and do following setting.</w:t>
      </w:r>
    </w:p>
    <w:p w14:paraId="44BCF833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Check 'Default Impersonation',  'User </w:t>
      </w:r>
      <w:proofErr w:type="spellStart"/>
      <w:r>
        <w:rPr>
          <w:rFonts w:ascii="Helv" w:eastAsia="Calibri" w:hAnsi="Helv" w:cs="Helv"/>
          <w:color w:val="000000"/>
          <w:lang w:val="en-IN"/>
        </w:rPr>
        <w:t>Sudo</w:t>
      </w:r>
      <w:proofErr w:type="spellEnd"/>
      <w:r>
        <w:rPr>
          <w:rFonts w:ascii="Helv" w:eastAsia="Calibri" w:hAnsi="Helv" w:cs="Helv"/>
          <w:color w:val="000000"/>
          <w:lang w:val="en-IN"/>
        </w:rPr>
        <w:t>' and 'Always use Default Impersonation' box.</w:t>
      </w:r>
    </w:p>
    <w:p w14:paraId="208AA774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'User' and 'password' and 'Group' is </w:t>
      </w:r>
      <w:proofErr w:type="spellStart"/>
      <w:r>
        <w:rPr>
          <w:rFonts w:ascii="Helv" w:eastAsia="Calibri" w:hAnsi="Helv" w:cs="Helv"/>
          <w:color w:val="000000"/>
          <w:lang w:val="en-IN"/>
        </w:rPr>
        <w:t>emptoris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. </w:t>
      </w:r>
    </w:p>
    <w:p w14:paraId="0246C857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3) Re-install UCD agent.</w:t>
      </w:r>
    </w:p>
    <w:p w14:paraId="708051BF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Calibri" w:eastAsia="Calibri" w:hAnsi="Calibri" w:cs="Calibri"/>
          <w:color w:val="000000"/>
          <w:sz w:val="24"/>
          <w:szCs w:val="24"/>
          <w:lang w:val="en"/>
        </w:rPr>
      </w:pPr>
    </w:p>
    <w:p w14:paraId="25F8CAA7" w14:textId="1409F7FF" w:rsidR="00536E35" w:rsidRPr="004D79A7" w:rsidRDefault="00536E35" w:rsidP="008F7DF0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Tms Rmn" w:eastAsia="Calibri" w:hAnsi="Tms Rmn" w:cs="Tms Rmn"/>
          <w:color w:val="000000"/>
          <w:sz w:val="4"/>
          <w:szCs w:val="4"/>
          <w:lang w:val="en"/>
        </w:rPr>
      </w:pPr>
      <w:r w:rsidRPr="004D79A7">
        <w:rPr>
          <w:rFonts w:ascii="Calibri" w:eastAsia="Calibri" w:hAnsi="Calibri" w:cs="Calibri"/>
          <w:color w:val="000000"/>
          <w:sz w:val="24"/>
          <w:szCs w:val="24"/>
          <w:lang w:val="en"/>
        </w:rPr>
        <w:t>New ‘Common Web Server’ build is made avai</w:t>
      </w:r>
      <w:r w:rsidR="004D79A7" w:rsidRPr="004D79A7">
        <w:rPr>
          <w:rFonts w:ascii="Calibri" w:eastAsia="Calibri" w:hAnsi="Calibri" w:cs="Calibri"/>
          <w:color w:val="000000"/>
          <w:sz w:val="24"/>
          <w:szCs w:val="24"/>
          <w:lang w:val="en"/>
        </w:rPr>
        <w:t>lable “</w:t>
      </w:r>
      <w:r w:rsidR="004D79A7" w:rsidRPr="004D79A7">
        <w:rPr>
          <w:rFonts w:ascii="Calibri" w:eastAsia="Calibri" w:hAnsi="Calibri" w:cs="Calibri"/>
          <w:b/>
          <w:color w:val="000000"/>
          <w:sz w:val="24"/>
          <w:szCs w:val="24"/>
          <w:lang w:val="en"/>
        </w:rPr>
        <w:t>emptoris_web-2.0.0.0.3-45</w:t>
      </w:r>
      <w:r w:rsidRPr="004D79A7">
        <w:rPr>
          <w:rFonts w:ascii="Calibri" w:eastAsia="Calibri" w:hAnsi="Calibri" w:cs="Calibri"/>
          <w:b/>
          <w:color w:val="000000"/>
          <w:sz w:val="24"/>
          <w:szCs w:val="24"/>
          <w:lang w:val="en"/>
        </w:rPr>
        <w:t>.zip</w:t>
      </w:r>
      <w:r w:rsidRPr="004D79A7"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”. </w:t>
      </w:r>
    </w:p>
    <w:p w14:paraId="548320DD" w14:textId="77777777" w:rsidR="00536E35" w:rsidRDefault="00536E35" w:rsidP="00536E35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</w:p>
    <w:p w14:paraId="4E6EC2E8" w14:textId="77777777" w:rsidR="00536E35" w:rsidRDefault="00536E35" w:rsidP="00FD5A1D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</w:p>
    <w:p w14:paraId="5D6CD844" w14:textId="14CE6E6B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5D7BB8F8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6E73D8EF" w14:textId="77777777" w:rsidR="004D79A7" w:rsidRDefault="004D79A7" w:rsidP="00FD5A1D">
      <w:pPr>
        <w:ind w:right="1584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0"/>
        <w:gridCol w:w="2970"/>
        <w:gridCol w:w="6120"/>
      </w:tblGrid>
      <w:tr w:rsidR="004D79A7" w:rsidRPr="00633D6C" w14:paraId="08536939" w14:textId="77777777" w:rsidTr="00477E8C">
        <w:trPr>
          <w:trHeight w:val="377"/>
        </w:trPr>
        <w:tc>
          <w:tcPr>
            <w:tcW w:w="2430" w:type="dxa"/>
            <w:shd w:val="clear" w:color="auto" w:fill="C6D9F1"/>
          </w:tcPr>
          <w:p w14:paraId="75E59E53" w14:textId="77777777" w:rsidR="004D79A7" w:rsidRPr="00B16F72" w:rsidRDefault="004D79A7" w:rsidP="00477E8C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Support Case Number</w:t>
            </w:r>
          </w:p>
        </w:tc>
        <w:tc>
          <w:tcPr>
            <w:tcW w:w="2970" w:type="dxa"/>
            <w:shd w:val="clear" w:color="auto" w:fill="C6D9F1"/>
          </w:tcPr>
          <w:p w14:paraId="04F7CE1E" w14:textId="77777777" w:rsidR="004D79A7" w:rsidRPr="00B16F72" w:rsidRDefault="004D79A7" w:rsidP="00477E8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Engineering Issue Number</w:t>
            </w:r>
          </w:p>
        </w:tc>
        <w:tc>
          <w:tcPr>
            <w:tcW w:w="6120" w:type="dxa"/>
            <w:shd w:val="clear" w:color="auto" w:fill="C6D9F1"/>
          </w:tcPr>
          <w:p w14:paraId="31AB0108" w14:textId="77777777" w:rsidR="004D79A7" w:rsidRPr="00B16F72" w:rsidRDefault="004D79A7" w:rsidP="00477E8C">
            <w:pPr>
              <w:rPr>
                <w:rFonts w:ascii="Calibri" w:hAnsi="Calibri" w:cs="Calibri"/>
                <w:b/>
                <w:bCs/>
                <w:color w:val="FF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bCs/>
                <w:sz w:val="24"/>
                <w:szCs w:val="24"/>
              </w:rPr>
              <w:t>Issue Description</w:t>
            </w:r>
          </w:p>
        </w:tc>
      </w:tr>
      <w:tr w:rsidR="004D79A7" w:rsidRPr="00633D6C" w14:paraId="4CF3B00D" w14:textId="77777777" w:rsidTr="00477E8C">
        <w:trPr>
          <w:trHeight w:val="348"/>
        </w:trPr>
        <w:tc>
          <w:tcPr>
            <w:tcW w:w="2430" w:type="dxa"/>
          </w:tcPr>
          <w:p w14:paraId="02F876F8" w14:textId="77777777" w:rsidR="004D79A7" w:rsidRPr="00D87171" w:rsidRDefault="004D79A7" w:rsidP="00477E8C">
            <w:pPr>
              <w:pStyle w:val="ListParagraph"/>
              <w:ind w:left="4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- </w:t>
            </w:r>
          </w:p>
        </w:tc>
        <w:tc>
          <w:tcPr>
            <w:tcW w:w="2970" w:type="dxa"/>
          </w:tcPr>
          <w:p w14:paraId="10F8B19B" w14:textId="77777777" w:rsidR="004D79A7" w:rsidRPr="00D87171" w:rsidRDefault="004D79A7" w:rsidP="00477E8C">
            <w:pPr>
              <w:pStyle w:val="ListParagraph"/>
              <w:ind w:left="4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65295</w:t>
            </w:r>
          </w:p>
        </w:tc>
        <w:tc>
          <w:tcPr>
            <w:tcW w:w="6120" w:type="dxa"/>
          </w:tcPr>
          <w:p w14:paraId="2FC252EA" w14:textId="77777777" w:rsidR="004D79A7" w:rsidRPr="00DF615A" w:rsidRDefault="004D79A7" w:rsidP="00477E8C">
            <w:pPr>
              <w:pStyle w:val="Heading2"/>
              <w:ind w:left="420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Security Issue Fixed</w:t>
            </w:r>
          </w:p>
        </w:tc>
      </w:tr>
      <w:tr w:rsidR="004D79A7" w:rsidRPr="00633D6C" w14:paraId="38786B3E" w14:textId="77777777" w:rsidTr="00477E8C">
        <w:trPr>
          <w:trHeight w:val="348"/>
        </w:trPr>
        <w:tc>
          <w:tcPr>
            <w:tcW w:w="2430" w:type="dxa"/>
          </w:tcPr>
          <w:p w14:paraId="3BB5C2C8" w14:textId="77777777" w:rsidR="004D79A7" w:rsidRDefault="004D79A7" w:rsidP="00477E8C">
            <w:pPr>
              <w:pStyle w:val="ListParagraph"/>
              <w:ind w:left="4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70" w:type="dxa"/>
          </w:tcPr>
          <w:p w14:paraId="46FE4740" w14:textId="77777777" w:rsidR="004D79A7" w:rsidRDefault="004D79A7" w:rsidP="00477E8C">
            <w:pPr>
              <w:pStyle w:val="ListParagraph"/>
              <w:ind w:left="420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63188</w:t>
            </w:r>
          </w:p>
        </w:tc>
        <w:tc>
          <w:tcPr>
            <w:tcW w:w="6120" w:type="dxa"/>
          </w:tcPr>
          <w:p w14:paraId="24003EDD" w14:textId="77777777" w:rsidR="004D79A7" w:rsidRDefault="004D79A7" w:rsidP="00477E8C">
            <w:pPr>
              <w:pStyle w:val="Heading2"/>
              <w:ind w:left="420"/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eastAsia="MS Mincho" w:hAnsiTheme="minorHAnsi" w:cstheme="minorHAnsi"/>
                <w:b w:val="0"/>
                <w:sz w:val="24"/>
                <w:szCs w:val="24"/>
              </w:rPr>
              <w:t>Security Issue Fixed</w:t>
            </w:r>
          </w:p>
        </w:tc>
      </w:tr>
    </w:tbl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sectPr w:rsidR="00FD5A1D" w:rsidSect="00633D6C">
      <w:headerReference w:type="default" r:id="rId14"/>
      <w:footerReference w:type="default" r:id="rId15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AB443" w14:textId="77777777" w:rsidR="00782456" w:rsidRDefault="00782456" w:rsidP="00A558DB">
      <w:r>
        <w:separator/>
      </w:r>
    </w:p>
  </w:endnote>
  <w:endnote w:type="continuationSeparator" w:id="0">
    <w:p w14:paraId="35C63356" w14:textId="77777777" w:rsidR="00782456" w:rsidRDefault="00782456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0C987B95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</w:t>
    </w:r>
    <w:r w:rsidR="00EE5B10">
      <w:rPr>
        <w:rFonts w:ascii="Calibri" w:hAnsi="Calibri" w:cs="Calibri"/>
        <w:color w:val="0000FF"/>
        <w:sz w:val="22"/>
        <w:szCs w:val="22"/>
      </w:rPr>
      <w:t>right IBM Corporation, 2017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7250D" w14:textId="77777777" w:rsidR="00782456" w:rsidRDefault="00782456" w:rsidP="00A558DB">
      <w:r>
        <w:separator/>
      </w:r>
    </w:p>
  </w:footnote>
  <w:footnote w:type="continuationSeparator" w:id="0">
    <w:p w14:paraId="08E9761A" w14:textId="77777777" w:rsidR="00782456" w:rsidRDefault="00782456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3861850"/>
    <w:lvl w:ilvl="0">
      <w:numFmt w:val="bullet"/>
      <w:lvlText w:val="*"/>
      <w:lvlJc w:val="left"/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A1BE3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677"/>
    <w:rsid w:val="00163896"/>
    <w:rsid w:val="00167FEB"/>
    <w:rsid w:val="0017451F"/>
    <w:rsid w:val="001962CA"/>
    <w:rsid w:val="001B4F33"/>
    <w:rsid w:val="001C5C3A"/>
    <w:rsid w:val="001E6573"/>
    <w:rsid w:val="001E6C96"/>
    <w:rsid w:val="001F3026"/>
    <w:rsid w:val="001F71F0"/>
    <w:rsid w:val="0020050C"/>
    <w:rsid w:val="00220674"/>
    <w:rsid w:val="00233020"/>
    <w:rsid w:val="002332DB"/>
    <w:rsid w:val="0024518E"/>
    <w:rsid w:val="002508D7"/>
    <w:rsid w:val="00260AA2"/>
    <w:rsid w:val="00261F34"/>
    <w:rsid w:val="002714E8"/>
    <w:rsid w:val="00280502"/>
    <w:rsid w:val="002A0F3D"/>
    <w:rsid w:val="002A3FD5"/>
    <w:rsid w:val="002A555B"/>
    <w:rsid w:val="002C0A28"/>
    <w:rsid w:val="002C7DDA"/>
    <w:rsid w:val="002D68C5"/>
    <w:rsid w:val="002D6F03"/>
    <w:rsid w:val="002E5066"/>
    <w:rsid w:val="002F227D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35889"/>
    <w:rsid w:val="00345329"/>
    <w:rsid w:val="00353268"/>
    <w:rsid w:val="0035504D"/>
    <w:rsid w:val="0035594C"/>
    <w:rsid w:val="0036611F"/>
    <w:rsid w:val="0038168B"/>
    <w:rsid w:val="00391AE5"/>
    <w:rsid w:val="003973B8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55436"/>
    <w:rsid w:val="00456C49"/>
    <w:rsid w:val="00483029"/>
    <w:rsid w:val="00484B76"/>
    <w:rsid w:val="00491FCA"/>
    <w:rsid w:val="00497EC5"/>
    <w:rsid w:val="004B0E4B"/>
    <w:rsid w:val="004B1890"/>
    <w:rsid w:val="004B2EEE"/>
    <w:rsid w:val="004B49D6"/>
    <w:rsid w:val="004C4406"/>
    <w:rsid w:val="004D26D8"/>
    <w:rsid w:val="004D79A7"/>
    <w:rsid w:val="004D7F3D"/>
    <w:rsid w:val="004F54E7"/>
    <w:rsid w:val="004F7F9D"/>
    <w:rsid w:val="00500787"/>
    <w:rsid w:val="00502BCC"/>
    <w:rsid w:val="005267F6"/>
    <w:rsid w:val="00526F11"/>
    <w:rsid w:val="00536E35"/>
    <w:rsid w:val="00561DE1"/>
    <w:rsid w:val="0057026C"/>
    <w:rsid w:val="005759F3"/>
    <w:rsid w:val="005800C4"/>
    <w:rsid w:val="0058660D"/>
    <w:rsid w:val="0059175E"/>
    <w:rsid w:val="005C6219"/>
    <w:rsid w:val="005D2EAF"/>
    <w:rsid w:val="005E3EEB"/>
    <w:rsid w:val="005F02B3"/>
    <w:rsid w:val="005F3F2F"/>
    <w:rsid w:val="005F5684"/>
    <w:rsid w:val="00604FE3"/>
    <w:rsid w:val="00612FAD"/>
    <w:rsid w:val="006158C5"/>
    <w:rsid w:val="00633D6C"/>
    <w:rsid w:val="006373A5"/>
    <w:rsid w:val="006514FC"/>
    <w:rsid w:val="00656A27"/>
    <w:rsid w:val="006627A6"/>
    <w:rsid w:val="00671E62"/>
    <w:rsid w:val="00672F6E"/>
    <w:rsid w:val="0067572D"/>
    <w:rsid w:val="0067642B"/>
    <w:rsid w:val="006800ED"/>
    <w:rsid w:val="00686D79"/>
    <w:rsid w:val="00695E4A"/>
    <w:rsid w:val="006B30B7"/>
    <w:rsid w:val="006C175F"/>
    <w:rsid w:val="006C1C19"/>
    <w:rsid w:val="006E0735"/>
    <w:rsid w:val="006E1F11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2456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2C78"/>
    <w:rsid w:val="00861786"/>
    <w:rsid w:val="00866220"/>
    <w:rsid w:val="00874036"/>
    <w:rsid w:val="008774E0"/>
    <w:rsid w:val="008813A3"/>
    <w:rsid w:val="008A0801"/>
    <w:rsid w:val="008A4308"/>
    <w:rsid w:val="008A7E24"/>
    <w:rsid w:val="008B40AF"/>
    <w:rsid w:val="008B4DAD"/>
    <w:rsid w:val="008E1755"/>
    <w:rsid w:val="008F605F"/>
    <w:rsid w:val="00932C2B"/>
    <w:rsid w:val="009513AF"/>
    <w:rsid w:val="00963B43"/>
    <w:rsid w:val="00983A2B"/>
    <w:rsid w:val="00986D33"/>
    <w:rsid w:val="00987279"/>
    <w:rsid w:val="0099117C"/>
    <w:rsid w:val="00994CA1"/>
    <w:rsid w:val="009A7062"/>
    <w:rsid w:val="009B2746"/>
    <w:rsid w:val="009B4B9C"/>
    <w:rsid w:val="009C2B3B"/>
    <w:rsid w:val="009C4F8B"/>
    <w:rsid w:val="009E458B"/>
    <w:rsid w:val="00A02331"/>
    <w:rsid w:val="00A135AD"/>
    <w:rsid w:val="00A21A41"/>
    <w:rsid w:val="00A3240F"/>
    <w:rsid w:val="00A4499C"/>
    <w:rsid w:val="00A54699"/>
    <w:rsid w:val="00A558DB"/>
    <w:rsid w:val="00A573DC"/>
    <w:rsid w:val="00A83F3A"/>
    <w:rsid w:val="00AA1DCC"/>
    <w:rsid w:val="00AA3656"/>
    <w:rsid w:val="00AA61F4"/>
    <w:rsid w:val="00AC3E39"/>
    <w:rsid w:val="00AD539B"/>
    <w:rsid w:val="00AE556C"/>
    <w:rsid w:val="00AF6F17"/>
    <w:rsid w:val="00B075E2"/>
    <w:rsid w:val="00B07B83"/>
    <w:rsid w:val="00B15B1C"/>
    <w:rsid w:val="00B16F72"/>
    <w:rsid w:val="00B24F61"/>
    <w:rsid w:val="00B36FF3"/>
    <w:rsid w:val="00B370DB"/>
    <w:rsid w:val="00B42786"/>
    <w:rsid w:val="00B54DED"/>
    <w:rsid w:val="00B76DEB"/>
    <w:rsid w:val="00B82FBF"/>
    <w:rsid w:val="00B8765A"/>
    <w:rsid w:val="00B9474D"/>
    <w:rsid w:val="00B965B9"/>
    <w:rsid w:val="00BB2E9A"/>
    <w:rsid w:val="00C049DA"/>
    <w:rsid w:val="00C06752"/>
    <w:rsid w:val="00C11075"/>
    <w:rsid w:val="00C334DC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C612E"/>
    <w:rsid w:val="00CD3A9D"/>
    <w:rsid w:val="00CE0E6C"/>
    <w:rsid w:val="00CE17F2"/>
    <w:rsid w:val="00D048F6"/>
    <w:rsid w:val="00D107C6"/>
    <w:rsid w:val="00D23970"/>
    <w:rsid w:val="00D24046"/>
    <w:rsid w:val="00D246D2"/>
    <w:rsid w:val="00D60197"/>
    <w:rsid w:val="00D653A9"/>
    <w:rsid w:val="00D70AA6"/>
    <w:rsid w:val="00D93F92"/>
    <w:rsid w:val="00DA34D0"/>
    <w:rsid w:val="00DD1A0D"/>
    <w:rsid w:val="00DD7F68"/>
    <w:rsid w:val="00DE5687"/>
    <w:rsid w:val="00DF186E"/>
    <w:rsid w:val="00DF74CA"/>
    <w:rsid w:val="00E0729A"/>
    <w:rsid w:val="00E370C1"/>
    <w:rsid w:val="00E42553"/>
    <w:rsid w:val="00E45498"/>
    <w:rsid w:val="00E57371"/>
    <w:rsid w:val="00E75B72"/>
    <w:rsid w:val="00E860C8"/>
    <w:rsid w:val="00E9634F"/>
    <w:rsid w:val="00EB49B2"/>
    <w:rsid w:val="00EC1CC4"/>
    <w:rsid w:val="00EC2529"/>
    <w:rsid w:val="00ED2188"/>
    <w:rsid w:val="00EE5B10"/>
    <w:rsid w:val="00EF55B3"/>
    <w:rsid w:val="00EF61EC"/>
    <w:rsid w:val="00F06993"/>
    <w:rsid w:val="00F11C92"/>
    <w:rsid w:val="00F34AB7"/>
    <w:rsid w:val="00F61C62"/>
    <w:rsid w:val="00F6327D"/>
    <w:rsid w:val="00F67798"/>
    <w:rsid w:val="00F70D90"/>
    <w:rsid w:val="00F77051"/>
    <w:rsid w:val="00F858B2"/>
    <w:rsid w:val="00F96276"/>
    <w:rsid w:val="00FB5299"/>
    <w:rsid w:val="00FB5A71"/>
    <w:rsid w:val="00FC0942"/>
    <w:rsid w:val="00FC77F8"/>
    <w:rsid w:val="00FD2EBE"/>
    <w:rsid w:val="00FD5A1D"/>
    <w:rsid w:val="00FD7A13"/>
    <w:rsid w:val="00FE0D91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paragraph" w:styleId="Heading2">
    <w:name w:val="heading 2"/>
    <w:basedOn w:val="Normal"/>
    <w:link w:val="Heading2Char"/>
    <w:uiPriority w:val="9"/>
    <w:qFormat/>
    <w:locked/>
    <w:rsid w:val="004D79A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163677"/>
    <w:rPr>
      <w:b/>
      <w:bCs/>
    </w:rPr>
  </w:style>
  <w:style w:type="table" w:styleId="GridTable2-Accent6">
    <w:name w:val="Grid Table 2 Accent 6"/>
    <w:basedOn w:val="TableNormal"/>
    <w:uiPriority w:val="47"/>
    <w:rsid w:val="002508D7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4D79A7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9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3-connections.ibm.com/communities/service/html/communityview?communityUuid=a3166e16-020d-44eb-a60d-83f9d0ec0d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0.2/com.ibm.help.ssm.home.doc/ssm_welcome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E8139-3419-4B89-84C4-21BDABC0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sachindagar</cp:lastModifiedBy>
  <cp:revision>4</cp:revision>
  <dcterms:created xsi:type="dcterms:W3CDTF">2017-07-14T09:24:00Z</dcterms:created>
  <dcterms:modified xsi:type="dcterms:W3CDTF">2017-07-14T09:59:00Z</dcterms:modified>
</cp:coreProperties>
</file>