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tabs>
          <w:tab w:val="left" w:pos="1170" w:leader="none"/>
          <w:tab w:val="left" w:pos="1440" w:leader="none"/>
          <w:tab w:val="left" w:pos="1584" w:leader="none"/>
        </w:tabs>
        <w:spacing w:before="0" w:after="240" w:line="240"/>
        <w:ind w:right="-1152" w:left="-2592" w:firstLine="0"/>
        <w:jc w:val="center"/>
        <w:rPr>
          <w:rFonts w:ascii="Calibri" w:hAnsi="Calibri" w:cs="Calibri" w:eastAsia="Calibri"/>
          <w:b/>
          <w:color w:val="0000CC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0000CC"/>
          <w:spacing w:val="0"/>
          <w:position w:val="0"/>
          <w:sz w:val="24"/>
          <w:shd w:fill="auto" w:val="clear"/>
        </w:rPr>
        <w:tab/>
        <w:tab/>
      </w:r>
      <w:r>
        <w:object w:dxaOrig="1540" w:dyaOrig="504">
          <v:rect xmlns:o="urn:schemas-microsoft-com:office:office" xmlns:v="urn:schemas-microsoft-com:vml" id="rectole0000000000" style="width:77.000000pt;height:25.20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tbl>
      <w:tblPr/>
      <w:tblGrid>
        <w:gridCol w:w="2250"/>
        <w:gridCol w:w="6570"/>
        <w:gridCol w:w="4516"/>
      </w:tblGrid>
      <w:tr>
        <w:trPr>
          <w:trHeight w:val="256" w:hRule="auto"/>
          <w:jc w:val="left"/>
        </w:trPr>
        <w:tc>
          <w:tcPr>
            <w:tcW w:w="13336" w:type="dxa"/>
            <w:gridSpan w:val="3"/>
            <w:tcBorders>
              <w:top w:val="single" w:color="000000" w:sz="12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1584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3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30"/>
                <w:shd w:fill="auto" w:val="clear"/>
              </w:rPr>
              <w:t xml:space="preserve">IBM Emptoris Strategic Supply Management Platform - 10.1.1.7 Release Card</w:t>
            </w:r>
          </w:p>
          <w:p>
            <w:pPr>
              <w:spacing w:before="0" w:after="0" w:line="240"/>
              <w:ind w:right="1584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1584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634" w:hRule="auto"/>
          <w:jc w:val="left"/>
        </w:trPr>
        <w:tc>
          <w:tcPr>
            <w:tcW w:w="22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Product(s):</w:t>
            </w:r>
          </w:p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spacing w:val="0"/>
                <w:position w:val="0"/>
                <w:shd w:fill="auto" w:val="clear"/>
              </w:rPr>
            </w:pP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CC"/>
                <w:spacing w:val="0"/>
                <w:position w:val="0"/>
                <w:sz w:val="22"/>
                <w:shd w:fill="auto" w:val="clear"/>
              </w:rPr>
              <w:t xml:space="preserve">IBM Emptoris Strategic Supply Management Platform</w:t>
            </w:r>
          </w:p>
        </w:tc>
      </w:tr>
      <w:tr>
        <w:trPr>
          <w:trHeight w:val="1" w:hRule="atLeast"/>
          <w:jc w:val="left"/>
        </w:trPr>
        <w:tc>
          <w:tcPr>
            <w:tcW w:w="22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Release Version:</w:t>
            </w:r>
          </w:p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spacing w:val="0"/>
                <w:position w:val="0"/>
                <w:shd w:fill="auto" w:val="clear"/>
              </w:rPr>
            </w:pP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10.1.1.7</w:t>
            </w:r>
          </w:p>
        </w:tc>
      </w:tr>
      <w:tr>
        <w:trPr>
          <w:trHeight w:val="1" w:hRule="atLeast"/>
          <w:jc w:val="left"/>
        </w:trPr>
        <w:tc>
          <w:tcPr>
            <w:tcW w:w="22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Author:</w:t>
            </w:r>
          </w:p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spacing w:val="0"/>
                <w:position w:val="0"/>
                <w:shd w:fill="auto" w:val="clear"/>
              </w:rPr>
            </w:pP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SD</w:t>
            </w:r>
          </w:p>
        </w:tc>
      </w:tr>
      <w:tr>
        <w:trPr>
          <w:trHeight w:val="70" w:hRule="auto"/>
          <w:jc w:val="left"/>
        </w:trPr>
        <w:tc>
          <w:tcPr>
            <w:tcW w:w="22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Quality Certified by:</w:t>
            </w:r>
          </w:p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spacing w:val="0"/>
                <w:position w:val="0"/>
                <w:shd w:fill="auto" w:val="clear"/>
              </w:rPr>
            </w:pPr>
          </w:p>
        </w:tc>
        <w:tc>
          <w:tcPr>
            <w:tcW w:w="65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0000CC"/>
                <w:spacing w:val="0"/>
                <w:position w:val="0"/>
                <w:sz w:val="24"/>
                <w:shd w:fill="auto" w:val="clear"/>
              </w:rPr>
              <w:t xml:space="preserve">SuiteQA</w:t>
            </w:r>
          </w:p>
        </w:tc>
      </w:tr>
    </w:tbl>
    <w:p>
      <w:pPr>
        <w:spacing w:before="0" w:after="0" w:line="240"/>
        <w:ind w:right="1584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1584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1584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Build and Documents information:</w:t>
      </w:r>
    </w:p>
    <w:tbl>
      <w:tblPr>
        <w:tblInd w:w="108" w:type="dxa"/>
      </w:tblPr>
      <w:tblGrid>
        <w:gridCol w:w="2577"/>
        <w:gridCol w:w="3603"/>
        <w:gridCol w:w="5340"/>
      </w:tblGrid>
      <w:tr>
        <w:trPr>
          <w:trHeight w:val="348" w:hRule="auto"/>
          <w:jc w:val="left"/>
        </w:trPr>
        <w:tc>
          <w:tcPr>
            <w:tcW w:w="25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Build Version:</w:t>
            </w:r>
          </w:p>
        </w:tc>
        <w:tc>
          <w:tcPr>
            <w:tcW w:w="36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EMP_SSMP_10.1.1.7_130.zip</w:t>
            </w:r>
          </w:p>
        </w:tc>
        <w:tc>
          <w:tcPr>
            <w:tcW w:w="53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92" w:hRule="auto"/>
          <w:jc w:val="left"/>
        </w:trPr>
        <w:tc>
          <w:tcPr>
            <w:tcW w:w="25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Installation Files:</w:t>
            </w:r>
          </w:p>
        </w:tc>
        <w:tc>
          <w:tcPr>
            <w:tcW w:w="36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hyperlink xmlns:r="http://schemas.openxmlformats.org/officeDocument/2006/relationships" r:id="docRId2">
              <w:r>
                <w:rPr>
                  <w:rFonts w:ascii="Calibri" w:hAnsi="Calibri" w:cs="Calibri" w:eastAsia="Calibri"/>
                  <w:color w:val="0000FF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Passport Advantage</w:t>
              </w:r>
            </w:hyperlink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i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EMP_SSMP_10.1.1.0.0_226.zip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hyperlink xmlns:r="http://schemas.openxmlformats.org/officeDocument/2006/relationships" r:id="docRId3">
              <w:r>
                <w:rPr>
                  <w:rFonts w:ascii="Calibri" w:hAnsi="Calibri" w:cs="Calibri" w:eastAsia="Calibri"/>
                  <w:color w:val="0000FF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Fix Central</w:t>
              </w:r>
            </w:hyperlink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EMP_SSMP_10.1.1.7_130.zip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For UrbanCodeDeploy </w:t>
            </w: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EMP_SSMP_10.1.1.7_130_UCD.zip</w:t>
            </w:r>
          </w:p>
        </w:tc>
        <w:tc>
          <w:tcPr>
            <w:tcW w:w="53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If Program Management is installed then, include this file.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FF"/>
                <w:spacing w:val="0"/>
                <w:position w:val="0"/>
                <w:sz w:val="24"/>
                <w:u w:val="single"/>
                <w:shd w:fill="auto" w:val="clear"/>
              </w:rPr>
            </w:pPr>
            <w:hyperlink xmlns:r="http://schemas.openxmlformats.org/officeDocument/2006/relationships" r:id="docRId4">
              <w:r>
                <w:rPr>
                  <w:rFonts w:ascii="Calibri" w:hAnsi="Calibri" w:cs="Calibri" w:eastAsia="Calibri"/>
                  <w:color w:val="0000FF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Fix Central</w:t>
              </w:r>
            </w:hyperlink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EMP_PGM_10.1.1.7_130.zip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For UrbanCodeDeploy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EMP_PGM_10.1.1.7_130_UCD.zip</w:t>
            </w:r>
          </w:p>
        </w:tc>
      </w:tr>
      <w:tr>
        <w:trPr>
          <w:trHeight w:val="92" w:hRule="auto"/>
          <w:jc w:val="left"/>
        </w:trPr>
        <w:tc>
          <w:tcPr>
            <w:tcW w:w="25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Site Configuration File:</w:t>
            </w:r>
          </w:p>
        </w:tc>
        <w:tc>
          <w:tcPr>
            <w:tcW w:w="36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Not Applicable</w:t>
            </w:r>
          </w:p>
        </w:tc>
        <w:tc>
          <w:tcPr>
            <w:tcW w:w="53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92" w:hRule="auto"/>
          <w:jc w:val="left"/>
        </w:trPr>
        <w:tc>
          <w:tcPr>
            <w:tcW w:w="25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Other Documents:</w:t>
            </w:r>
          </w:p>
        </w:tc>
        <w:tc>
          <w:tcPr>
            <w:tcW w:w="36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hd w:fill="auto" w:val="clear"/>
              </w:rPr>
            </w:pPr>
            <w:hyperlink xmlns:r="http://schemas.openxmlformats.org/officeDocument/2006/relationships" r:id="docRId5">
              <w:r>
                <w:rPr>
                  <w:rFonts w:ascii="Calibri" w:hAnsi="Calibri" w:cs="Calibri" w:eastAsia="Calibri"/>
                  <w:color w:val="0000FF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IBM Knowledge Center for Emptoris Strategic Supply Management</w:t>
              </w:r>
            </w:hyperlink>
          </w:p>
        </w:tc>
        <w:tc>
          <w:tcPr>
            <w:tcW w:w="53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Special Instructions for Customer / Application Management team:</w:t>
      </w:r>
    </w:p>
    <w:p>
      <w:pPr>
        <w:spacing w:before="0" w:after="0" w:line="240"/>
        <w:ind w:right="1584" w:left="0" w:firstLine="0"/>
        <w:jc w:val="left"/>
        <w:rPr>
          <w:rFonts w:ascii="Tms Rmn" w:hAnsi="Tms Rmn" w:cs="Tms Rmn" w:eastAsia="Tms Rmn"/>
          <w:color w:val="000000"/>
          <w:spacing w:val="0"/>
          <w:position w:val="0"/>
          <w:sz w:val="4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Special Instructions</w:t>
      </w:r>
      <w:r>
        <w:rPr>
          <w:rFonts w:ascii="Tms Rmn" w:hAnsi="Tms Rmn" w:cs="Tms Rmn" w:eastAsia="Tms Rmn"/>
          <w:color w:val="000000"/>
          <w:spacing w:val="0"/>
          <w:position w:val="0"/>
          <w:sz w:val="4"/>
          <w:shd w:fill="auto" w:val="clear"/>
        </w:rPr>
        <w:br/>
      </w:r>
    </w:p>
    <w:tbl>
      <w:tblPr>
        <w:tblInd w:w="8" w:type="dxa"/>
      </w:tblPr>
      <w:tblGrid>
        <w:gridCol w:w="679"/>
        <w:gridCol w:w="10841"/>
      </w:tblGrid>
      <w:tr>
        <w:trPr>
          <w:trHeight w:val="1" w:hRule="atLeast"/>
          <w:jc w:val="left"/>
        </w:trPr>
        <w:tc>
          <w:tcPr>
            <w:tcW w:w="67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keepNext w:val="true"/>
              <w:keepLines w:val="true"/>
              <w:spacing w:before="0" w:after="0" w:line="240"/>
              <w:ind w:right="0" w:left="123" w:firstLine="0"/>
              <w:jc w:val="left"/>
              <w:rPr>
                <w:rFonts w:ascii="Calibri" w:hAnsi="Calibri" w:cs="Calibri" w:eastAsia="Calibri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#1</w:t>
            </w:r>
          </w:p>
        </w:tc>
        <w:tc>
          <w:tcPr>
            <w:tcW w:w="1084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keepNext w:val="true"/>
              <w:keepLines w:val="true"/>
              <w:spacing w:before="0" w:after="0" w:line="240"/>
              <w:ind w:right="0" w:left="123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Known issues - NA</w:t>
            </w:r>
          </w:p>
        </w:tc>
      </w:tr>
      <w:tr>
        <w:trPr>
          <w:trHeight w:val="1" w:hRule="atLeast"/>
          <w:jc w:val="left"/>
        </w:trPr>
        <w:tc>
          <w:tcPr>
            <w:tcW w:w="67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keepNext w:val="true"/>
              <w:keepLines w:val="true"/>
              <w:spacing w:before="0" w:after="0" w:line="240"/>
              <w:ind w:right="0" w:left="123" w:firstLine="0"/>
              <w:jc w:val="left"/>
              <w:rPr>
                <w:rFonts w:ascii="Calibri" w:hAnsi="Calibri" w:cs="Calibri" w:eastAsia="Calibri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#2</w:t>
            </w:r>
          </w:p>
        </w:tc>
        <w:tc>
          <w:tcPr>
            <w:tcW w:w="1084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keepNext w:val="true"/>
              <w:keepLines w:val="true"/>
              <w:spacing w:before="0" w:after="0" w:line="240"/>
              <w:ind w:right="0" w:left="108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Workarounds - NA</w:t>
            </w:r>
          </w:p>
        </w:tc>
      </w:tr>
      <w:tr>
        <w:trPr>
          <w:trHeight w:val="1" w:hRule="atLeast"/>
          <w:jc w:val="left"/>
        </w:trPr>
        <w:tc>
          <w:tcPr>
            <w:tcW w:w="67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keepNext w:val="true"/>
              <w:keepLines w:val="true"/>
              <w:spacing w:before="0" w:after="0" w:line="240"/>
              <w:ind w:right="0" w:left="123" w:firstLine="0"/>
              <w:jc w:val="left"/>
              <w:rPr>
                <w:rFonts w:ascii="Calibri" w:hAnsi="Calibri" w:cs="Calibri" w:eastAsia="Calibri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#3</w:t>
            </w:r>
          </w:p>
        </w:tc>
        <w:tc>
          <w:tcPr>
            <w:tcW w:w="1084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keepNext w:val="true"/>
              <w:keepLines w:val="true"/>
              <w:spacing w:before="0" w:after="0" w:line="240"/>
              <w:ind w:right="0" w:left="108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DB scripts required to fix customer data specific issues -NA</w:t>
            </w:r>
          </w:p>
        </w:tc>
      </w:tr>
      <w:tr>
        <w:trPr>
          <w:trHeight w:val="1" w:hRule="atLeast"/>
          <w:jc w:val="left"/>
        </w:trPr>
        <w:tc>
          <w:tcPr>
            <w:tcW w:w="679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keepNext w:val="true"/>
              <w:keepLines w:val="true"/>
              <w:spacing w:before="0" w:after="0" w:line="240"/>
              <w:ind w:right="0" w:left="123" w:firstLine="0"/>
              <w:jc w:val="left"/>
              <w:rPr>
                <w:rFonts w:ascii="Calibri" w:hAnsi="Calibri" w:cs="Calibri" w:eastAsia="Calibri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4"/>
                <w:shd w:fill="auto" w:val="clear"/>
              </w:rPr>
              <w:t xml:space="preserve">#4</w:t>
            </w:r>
          </w:p>
        </w:tc>
        <w:tc>
          <w:tcPr>
            <w:tcW w:w="10841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keepNext w:val="true"/>
              <w:keepLines w:val="true"/>
              <w:spacing w:before="0" w:after="0" w:line="240"/>
              <w:ind w:right="0" w:left="108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DB migration scripts - NA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i/>
          <w:color w:val="0000E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i/>
          <w:color w:val="0000E0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0000E0"/>
          <w:spacing w:val="0"/>
          <w:position w:val="0"/>
          <w:sz w:val="24"/>
          <w:shd w:fill="auto" w:val="clear"/>
        </w:rPr>
        <w:t xml:space="preserve">For UCD deployment of current release 10.1.1.7, the minimum product version should be 10.1.1.5.</w:t>
      </w:r>
    </w:p>
    <w:p>
      <w:pPr>
        <w:spacing w:before="240" w:after="0" w:line="240"/>
        <w:ind w:right="0" w:left="0" w:firstLine="0"/>
        <w:jc w:val="left"/>
        <w:rPr>
          <w:rFonts w:ascii="Tms Rmn" w:hAnsi="Tms Rmn" w:cs="Tms Rmn" w:eastAsia="Tms Rmn"/>
          <w:color w:val="000000"/>
          <w:spacing w:val="0"/>
          <w:position w:val="0"/>
          <w:sz w:val="24"/>
          <w:shd w:fill="auto" w:val="clear"/>
        </w:rPr>
      </w:pPr>
    </w:p>
    <w:p>
      <w:pPr>
        <w:spacing w:before="240" w:after="0" w:line="240"/>
        <w:ind w:right="0" w:left="0" w:firstLine="0"/>
        <w:jc w:val="left"/>
        <w:rPr>
          <w:rFonts w:ascii="Tms Rmn" w:hAnsi="Tms Rmn" w:cs="Tms Rmn" w:eastAsia="Tms Rmn"/>
          <w:color w:val="000000"/>
          <w:spacing w:val="0"/>
          <w:position w:val="0"/>
          <w:sz w:val="24"/>
          <w:shd w:fill="auto" w:val="clear"/>
        </w:rPr>
      </w:pPr>
    </w:p>
    <w:p>
      <w:pPr>
        <w:spacing w:before="240" w:after="0" w:line="240"/>
        <w:ind w:right="0" w:left="0" w:firstLine="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Tms Rmn" w:hAnsi="Tms Rmn" w:cs="Tms Rmn" w:eastAsia="Tms Rmn"/>
          <w:color w:val="000000"/>
          <w:spacing w:val="0"/>
          <w:position w:val="0"/>
          <w:sz w:val="24"/>
          <w:shd w:fill="auto" w:val="clear"/>
        </w:rPr>
        <w:t xml:space="preserve"> 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Special Database Instructions</w:t>
      </w:r>
    </w:p>
    <w:p>
      <w:pPr>
        <w:spacing w:before="0" w:after="0" w:line="240"/>
        <w:ind w:right="1584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Does this fix pack require a backup of the application database? - No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0" w:line="240"/>
        <w:ind w:right="1584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1584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1584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For the </w:t>
      </w:r>
      <w:hyperlink xmlns:r="http://schemas.openxmlformats.org/officeDocument/2006/relationships" r:id="docRId6">
        <w:r>
          <w:rPr>
            <w:rFonts w:ascii="Calibri" w:hAnsi="Calibri" w:cs="Calibri" w:eastAsia="Calibri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Suite Compatibility Matrix</w:t>
        </w:r>
      </w:hyperlink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and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Customer </w:t>
      </w:r>
      <w:hyperlink xmlns:r="http://schemas.openxmlformats.org/officeDocument/2006/relationships" r:id="docRId7">
        <w:r>
          <w:rPr>
            <w:rFonts w:ascii="Calibri" w:hAnsi="Calibri" w:cs="Calibri" w:eastAsia="Calibri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Issues Resolved in </w:t>
        </w:r>
        <w:r>
          <w:rPr>
            <w:rFonts w:ascii="Calibri" w:hAnsi="Calibri" w:cs="Calibri" w:eastAsia="Calibri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"http://www.ibm.com/support/knowledgecenter/SSYQ72_10.1.1/com.ibm.help.ssm_releasenotes.doc/r_ResolvedIssues_10.1.1.7.html"</w:t>
        </w:r>
        <w:r>
          <w:rPr>
            <w:rFonts w:ascii="Calibri" w:hAnsi="Calibri" w:cs="Calibri" w:eastAsia="Calibri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10.1.1.7</w:t>
        </w:r>
      </w:hyperlink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, consult the </w:t>
      </w:r>
      <w:hyperlink xmlns:r="http://schemas.openxmlformats.org/officeDocument/2006/relationships" r:id="docRId8">
        <w:r>
          <w:rPr>
            <w:rFonts w:ascii="Calibri" w:hAnsi="Calibri" w:cs="Calibri" w:eastAsia="Calibri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IBM Emptoris Strategic Supply Management </w:t>
        </w:r>
        <w:r>
          <w:rPr>
            <w:rFonts w:ascii="Calibri" w:hAnsi="Calibri" w:cs="Calibri" w:eastAsia="Calibri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"http://www.ibm.com/support/knowledgecenter/SSYQ72_10.1.1/com.ibm.help.ssm_releasenotes.doc/c_SSM_introduction.html"</w:t>
        </w:r>
        <w:r>
          <w:rPr>
            <w:rFonts w:ascii="Calibri" w:hAnsi="Calibri" w:cs="Calibri" w:eastAsia="Calibri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10.1.1.7</w:t>
        </w:r>
        <w:r>
          <w:rPr>
            <w:rFonts w:ascii="Calibri" w:hAnsi="Calibri" w:cs="Calibri" w:eastAsia="Calibri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"http://www.ibm.com/support/knowledgecenter/SSYQ72_10.1.1/com.ibm.help.ssm_releasenotes.doc/c_SSM_introduction.html"</w:t>
        </w:r>
        <w:r>
          <w:rPr>
            <w:rFonts w:ascii="Calibri" w:hAnsi="Calibri" w:cs="Calibri" w:eastAsia="Calibri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Release Notes</w:t>
        </w:r>
      </w:hyperlink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documentation on the IBM Knowledge Center.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8"/>
          <w:shd w:fill="auto" w:val="clear"/>
        </w:rPr>
        <w:t xml:space="preserve">Strategic Supply Management Platform Upgrade Matrix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Note:  If you are currently running a Strategic Supply Management Platform iFix version that is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higher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 than what is published in the corresponding cell in the table below, you should 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shd w:fill="auto" w:val="clear"/>
        </w:rPr>
        <w:t xml:space="preserve">not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upgrade to 10.1.1.7. Please check with Support to determine the proper migration path.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</w:pPr>
    </w:p>
    <w:tbl>
      <w:tblPr/>
      <w:tblGrid>
        <w:gridCol w:w="1716"/>
        <w:gridCol w:w="2127"/>
      </w:tblGrid>
      <w:tr>
        <w:trPr>
          <w:trHeight w:val="300" w:hRule="auto"/>
          <w:jc w:val="left"/>
        </w:trPr>
        <w:tc>
          <w:tcPr>
            <w:tcW w:w="1716" w:type="dxa"/>
            <w:tcBorders>
              <w:top w:val="single" w:color="d99594" w:sz="4"/>
              <w:left w:val="single" w:color="d99594" w:sz="4"/>
              <w:bottom w:val="single" w:color="d99594" w:sz="4"/>
              <w:right w:val="single" w:color="d99594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Branch</w:t>
            </w:r>
          </w:p>
        </w:tc>
        <w:tc>
          <w:tcPr>
            <w:tcW w:w="2127" w:type="dxa"/>
            <w:tcBorders>
              <w:top w:val="single" w:color="d99594" w:sz="4"/>
              <w:left w:val="single" w:color="d99594" w:sz="4"/>
              <w:bottom w:val="single" w:color="d99594" w:sz="4"/>
              <w:right w:val="single" w:color="d99594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SSM/PGM</w:t>
            </w:r>
          </w:p>
        </w:tc>
      </w:tr>
      <w:tr>
        <w:trPr>
          <w:trHeight w:val="300" w:hRule="auto"/>
          <w:jc w:val="left"/>
        </w:trPr>
        <w:tc>
          <w:tcPr>
            <w:tcW w:w="1716" w:type="dxa"/>
            <w:tcBorders>
              <w:top w:val="single" w:color="d99594" w:sz="4"/>
              <w:left w:val="single" w:color="d99594" w:sz="4"/>
              <w:bottom w:val="single" w:color="d99594" w:sz="4"/>
              <w:right w:val="single" w:color="d99594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9.0.6.X</w:t>
            </w:r>
          </w:p>
        </w:tc>
        <w:tc>
          <w:tcPr>
            <w:tcW w:w="2127" w:type="dxa"/>
            <w:tcBorders>
              <w:top w:val="single" w:color="d99594" w:sz="4"/>
              <w:left w:val="single" w:color="d99594" w:sz="4"/>
              <w:bottom w:val="single" w:color="d99594" w:sz="4"/>
              <w:right w:val="single" w:color="d99594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N/A</w:t>
            </w:r>
          </w:p>
        </w:tc>
      </w:tr>
      <w:tr>
        <w:trPr>
          <w:trHeight w:val="300" w:hRule="auto"/>
          <w:jc w:val="left"/>
        </w:trPr>
        <w:tc>
          <w:tcPr>
            <w:tcW w:w="1716" w:type="dxa"/>
            <w:tcBorders>
              <w:top w:val="single" w:color="d99594" w:sz="4"/>
              <w:left w:val="single" w:color="d99594" w:sz="4"/>
              <w:bottom w:val="single" w:color="d99594" w:sz="4"/>
              <w:right w:val="single" w:color="d99594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9.5.0.x</w:t>
            </w:r>
          </w:p>
        </w:tc>
        <w:tc>
          <w:tcPr>
            <w:tcW w:w="2127" w:type="dxa"/>
            <w:tcBorders>
              <w:top w:val="single" w:color="d99594" w:sz="4"/>
              <w:left w:val="single" w:color="d99594" w:sz="4"/>
              <w:bottom w:val="single" w:color="d99594" w:sz="4"/>
              <w:right w:val="single" w:color="d99594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N/A</w:t>
            </w:r>
          </w:p>
        </w:tc>
      </w:tr>
      <w:tr>
        <w:trPr>
          <w:trHeight w:val="300" w:hRule="auto"/>
          <w:jc w:val="left"/>
        </w:trPr>
        <w:tc>
          <w:tcPr>
            <w:tcW w:w="1716" w:type="dxa"/>
            <w:tcBorders>
              <w:top w:val="single" w:color="d99594" w:sz="4"/>
              <w:left w:val="single" w:color="d99594" w:sz="4"/>
              <w:bottom w:val="single" w:color="d99594" w:sz="4"/>
              <w:right w:val="single" w:color="d99594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9.5.1.3</w:t>
            </w:r>
          </w:p>
        </w:tc>
        <w:tc>
          <w:tcPr>
            <w:tcW w:w="2127" w:type="dxa"/>
            <w:tcBorders>
              <w:top w:val="single" w:color="d99594" w:sz="4"/>
              <w:left w:val="single" w:color="d99594" w:sz="4"/>
              <w:bottom w:val="single" w:color="d99594" w:sz="4"/>
              <w:right w:val="single" w:color="d99594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N/A</w:t>
            </w:r>
          </w:p>
        </w:tc>
      </w:tr>
      <w:tr>
        <w:trPr>
          <w:trHeight w:val="300" w:hRule="auto"/>
          <w:jc w:val="left"/>
        </w:trPr>
        <w:tc>
          <w:tcPr>
            <w:tcW w:w="1716" w:type="dxa"/>
            <w:tcBorders>
              <w:top w:val="single" w:color="d99594" w:sz="4"/>
              <w:left w:val="single" w:color="d99594" w:sz="4"/>
              <w:bottom w:val="single" w:color="d99594" w:sz="4"/>
              <w:right w:val="single" w:color="d99594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10.0.0.x</w:t>
            </w:r>
          </w:p>
        </w:tc>
        <w:tc>
          <w:tcPr>
            <w:tcW w:w="2127" w:type="dxa"/>
            <w:tcBorders>
              <w:top w:val="single" w:color="d99594" w:sz="4"/>
              <w:left w:val="single" w:color="d99594" w:sz="4"/>
              <w:bottom w:val="single" w:color="d99594" w:sz="4"/>
              <w:right w:val="single" w:color="d99594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10.0.0.3 iFix9</w:t>
            </w:r>
          </w:p>
        </w:tc>
      </w:tr>
      <w:tr>
        <w:trPr>
          <w:trHeight w:val="300" w:hRule="auto"/>
          <w:jc w:val="left"/>
        </w:trPr>
        <w:tc>
          <w:tcPr>
            <w:tcW w:w="1716" w:type="dxa"/>
            <w:tcBorders>
              <w:top w:val="single" w:color="d99594" w:sz="4"/>
              <w:left w:val="single" w:color="d99594" w:sz="4"/>
              <w:bottom w:val="single" w:color="d99594" w:sz="4"/>
              <w:right w:val="single" w:color="d99594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10.0.1.1</w:t>
            </w:r>
          </w:p>
        </w:tc>
        <w:tc>
          <w:tcPr>
            <w:tcW w:w="2127" w:type="dxa"/>
            <w:tcBorders>
              <w:top w:val="single" w:color="d99594" w:sz="4"/>
              <w:left w:val="single" w:color="d99594" w:sz="4"/>
              <w:bottom w:val="single" w:color="d99594" w:sz="4"/>
              <w:right w:val="single" w:color="d99594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10.0.1.1 iFix2</w:t>
            </w:r>
          </w:p>
        </w:tc>
      </w:tr>
      <w:tr>
        <w:trPr>
          <w:trHeight w:val="300" w:hRule="auto"/>
          <w:jc w:val="left"/>
        </w:trPr>
        <w:tc>
          <w:tcPr>
            <w:tcW w:w="1716" w:type="dxa"/>
            <w:tcBorders>
              <w:top w:val="single" w:color="d99594" w:sz="4"/>
              <w:left w:val="single" w:color="d99594" w:sz="4"/>
              <w:bottom w:val="single" w:color="d99594" w:sz="4"/>
              <w:right w:val="single" w:color="d99594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10.0.1.2</w:t>
            </w:r>
          </w:p>
        </w:tc>
        <w:tc>
          <w:tcPr>
            <w:tcW w:w="2127" w:type="dxa"/>
            <w:tcBorders>
              <w:top w:val="single" w:color="d99594" w:sz="4"/>
              <w:left w:val="single" w:color="d99594" w:sz="4"/>
              <w:bottom w:val="single" w:color="d99594" w:sz="4"/>
              <w:right w:val="single" w:color="d99594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10.0.1.2 iFix3</w:t>
            </w:r>
          </w:p>
        </w:tc>
      </w:tr>
      <w:tr>
        <w:trPr>
          <w:trHeight w:val="300" w:hRule="auto"/>
          <w:jc w:val="left"/>
        </w:trPr>
        <w:tc>
          <w:tcPr>
            <w:tcW w:w="1716" w:type="dxa"/>
            <w:tcBorders>
              <w:top w:val="single" w:color="d99594" w:sz="4"/>
              <w:left w:val="single" w:color="d99594" w:sz="4"/>
              <w:bottom w:val="single" w:color="d99594" w:sz="4"/>
              <w:right w:val="single" w:color="d99594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10.0.1.3</w:t>
            </w:r>
          </w:p>
        </w:tc>
        <w:tc>
          <w:tcPr>
            <w:tcW w:w="2127" w:type="dxa"/>
            <w:tcBorders>
              <w:top w:val="single" w:color="d99594" w:sz="4"/>
              <w:left w:val="single" w:color="d99594" w:sz="4"/>
              <w:bottom w:val="single" w:color="d99594" w:sz="4"/>
              <w:right w:val="single" w:color="d99594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10.0.1.3 iFix6</w:t>
            </w:r>
          </w:p>
        </w:tc>
      </w:tr>
      <w:tr>
        <w:trPr>
          <w:trHeight w:val="300" w:hRule="auto"/>
          <w:jc w:val="left"/>
        </w:trPr>
        <w:tc>
          <w:tcPr>
            <w:tcW w:w="1716" w:type="dxa"/>
            <w:tcBorders>
              <w:top w:val="single" w:color="d99594" w:sz="4"/>
              <w:left w:val="single" w:color="d99594" w:sz="4"/>
              <w:bottom w:val="single" w:color="d99594" w:sz="4"/>
              <w:right w:val="single" w:color="d99594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10.0.1.4</w:t>
            </w:r>
          </w:p>
        </w:tc>
        <w:tc>
          <w:tcPr>
            <w:tcW w:w="2127" w:type="dxa"/>
            <w:tcBorders>
              <w:top w:val="single" w:color="d99594" w:sz="4"/>
              <w:left w:val="single" w:color="d99594" w:sz="4"/>
              <w:bottom w:val="single" w:color="d99594" w:sz="4"/>
              <w:right w:val="single" w:color="d99594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10.0.1.4 iFix6</w:t>
            </w:r>
          </w:p>
        </w:tc>
      </w:tr>
      <w:tr>
        <w:trPr>
          <w:trHeight w:val="300" w:hRule="auto"/>
          <w:jc w:val="left"/>
        </w:trPr>
        <w:tc>
          <w:tcPr>
            <w:tcW w:w="1716" w:type="dxa"/>
            <w:tcBorders>
              <w:top w:val="single" w:color="d99594" w:sz="4"/>
              <w:left w:val="single" w:color="d99594" w:sz="4"/>
              <w:bottom w:val="single" w:color="d99594" w:sz="4"/>
              <w:right w:val="single" w:color="d99594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10.0.1.5</w:t>
            </w:r>
          </w:p>
        </w:tc>
        <w:tc>
          <w:tcPr>
            <w:tcW w:w="2127" w:type="dxa"/>
            <w:tcBorders>
              <w:top w:val="single" w:color="d99594" w:sz="4"/>
              <w:left w:val="single" w:color="d99594" w:sz="4"/>
              <w:bottom w:val="single" w:color="d99594" w:sz="4"/>
              <w:right w:val="single" w:color="d99594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N/A</w:t>
            </w:r>
          </w:p>
        </w:tc>
      </w:tr>
      <w:tr>
        <w:trPr>
          <w:trHeight w:val="300" w:hRule="auto"/>
          <w:jc w:val="left"/>
        </w:trPr>
        <w:tc>
          <w:tcPr>
            <w:tcW w:w="1716" w:type="dxa"/>
            <w:tcBorders>
              <w:top w:val="single" w:color="d99594" w:sz="4"/>
              <w:left w:val="single" w:color="d99594" w:sz="4"/>
              <w:bottom w:val="single" w:color="d99594" w:sz="4"/>
              <w:right w:val="single" w:color="d99594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10.0.2.x</w:t>
            </w:r>
          </w:p>
        </w:tc>
        <w:tc>
          <w:tcPr>
            <w:tcW w:w="2127" w:type="dxa"/>
            <w:tcBorders>
              <w:top w:val="single" w:color="d99594" w:sz="4"/>
              <w:left w:val="single" w:color="d99594" w:sz="4"/>
              <w:bottom w:val="single" w:color="d99594" w:sz="4"/>
              <w:right w:val="single" w:color="d99594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10.0.2.14</w:t>
            </w:r>
          </w:p>
        </w:tc>
      </w:tr>
      <w:tr>
        <w:trPr>
          <w:trHeight w:val="300" w:hRule="auto"/>
          <w:jc w:val="left"/>
        </w:trPr>
        <w:tc>
          <w:tcPr>
            <w:tcW w:w="1716" w:type="dxa"/>
            <w:tcBorders>
              <w:top w:val="single" w:color="d99594" w:sz="4"/>
              <w:left w:val="single" w:color="d99594" w:sz="4"/>
              <w:bottom w:val="single" w:color="d99594" w:sz="4"/>
              <w:right w:val="single" w:color="d99594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10.0.2.3</w:t>
            </w:r>
          </w:p>
        </w:tc>
        <w:tc>
          <w:tcPr>
            <w:tcW w:w="2127" w:type="dxa"/>
            <w:tcBorders>
              <w:top w:val="single" w:color="d99594" w:sz="4"/>
              <w:left w:val="single" w:color="d99594" w:sz="4"/>
              <w:bottom w:val="single" w:color="d99594" w:sz="4"/>
              <w:right w:val="single" w:color="d99594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10.0.2.3 iFix7</w:t>
            </w:r>
          </w:p>
        </w:tc>
      </w:tr>
      <w:tr>
        <w:trPr>
          <w:trHeight w:val="300" w:hRule="auto"/>
          <w:jc w:val="left"/>
        </w:trPr>
        <w:tc>
          <w:tcPr>
            <w:tcW w:w="1716" w:type="dxa"/>
            <w:tcBorders>
              <w:top w:val="single" w:color="d99594" w:sz="4"/>
              <w:left w:val="single" w:color="d99594" w:sz="4"/>
              <w:bottom w:val="single" w:color="d99594" w:sz="4"/>
              <w:right w:val="single" w:color="d99594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10.0.3.0</w:t>
            </w:r>
          </w:p>
        </w:tc>
        <w:tc>
          <w:tcPr>
            <w:tcW w:w="2127" w:type="dxa"/>
            <w:tcBorders>
              <w:top w:val="single" w:color="d99594" w:sz="4"/>
              <w:left w:val="single" w:color="d99594" w:sz="4"/>
              <w:bottom w:val="single" w:color="d99594" w:sz="4"/>
              <w:right w:val="single" w:color="d99594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N/A</w:t>
            </w:r>
          </w:p>
        </w:tc>
      </w:tr>
      <w:tr>
        <w:trPr>
          <w:trHeight w:val="300" w:hRule="auto"/>
          <w:jc w:val="left"/>
        </w:trPr>
        <w:tc>
          <w:tcPr>
            <w:tcW w:w="1716" w:type="dxa"/>
            <w:tcBorders>
              <w:top w:val="single" w:color="d99594" w:sz="4"/>
              <w:left w:val="single" w:color="d99594" w:sz="4"/>
              <w:bottom w:val="single" w:color="d99594" w:sz="4"/>
              <w:right w:val="single" w:color="d99594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10.0.4.0</w:t>
            </w:r>
          </w:p>
        </w:tc>
        <w:tc>
          <w:tcPr>
            <w:tcW w:w="2127" w:type="dxa"/>
            <w:tcBorders>
              <w:top w:val="single" w:color="d99594" w:sz="4"/>
              <w:left w:val="single" w:color="d99594" w:sz="4"/>
              <w:bottom w:val="single" w:color="d99594" w:sz="4"/>
              <w:right w:val="single" w:color="d99594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10.0.4.0 iFix10</w:t>
            </w:r>
          </w:p>
        </w:tc>
      </w:tr>
      <w:tr>
        <w:trPr>
          <w:trHeight w:val="300" w:hRule="auto"/>
          <w:jc w:val="left"/>
        </w:trPr>
        <w:tc>
          <w:tcPr>
            <w:tcW w:w="1716" w:type="dxa"/>
            <w:tcBorders>
              <w:top w:val="single" w:color="d99594" w:sz="4"/>
              <w:left w:val="single" w:color="d99594" w:sz="4"/>
              <w:bottom w:val="single" w:color="d99594" w:sz="4"/>
              <w:right w:val="single" w:color="d99594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10.1.0.x</w:t>
            </w:r>
          </w:p>
        </w:tc>
        <w:tc>
          <w:tcPr>
            <w:tcW w:w="2127" w:type="dxa"/>
            <w:tcBorders>
              <w:top w:val="single" w:color="d99594" w:sz="4"/>
              <w:left w:val="single" w:color="d99594" w:sz="4"/>
              <w:bottom w:val="single" w:color="d99594" w:sz="4"/>
              <w:right w:val="single" w:color="d99594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10.1.0.7</w:t>
            </w:r>
          </w:p>
        </w:tc>
      </w:tr>
      <w:tr>
        <w:trPr>
          <w:trHeight w:val="300" w:hRule="auto"/>
          <w:jc w:val="left"/>
        </w:trPr>
        <w:tc>
          <w:tcPr>
            <w:tcW w:w="1716" w:type="dxa"/>
            <w:tcBorders>
              <w:top w:val="single" w:color="d99594" w:sz="4"/>
              <w:left w:val="single" w:color="d99594" w:sz="4"/>
              <w:bottom w:val="single" w:color="d99594" w:sz="4"/>
              <w:right w:val="single" w:color="d99594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10.1.1.x</w:t>
            </w:r>
          </w:p>
        </w:tc>
        <w:tc>
          <w:tcPr>
            <w:tcW w:w="2127" w:type="dxa"/>
            <w:tcBorders>
              <w:top w:val="single" w:color="d99594" w:sz="4"/>
              <w:left w:val="single" w:color="d99594" w:sz="4"/>
              <w:bottom w:val="single" w:color="d99594" w:sz="4"/>
              <w:right w:val="single" w:color="d99594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10.1.1.6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://www.ibm.com/support/fixcentral" Id="docRId3" Type="http://schemas.openxmlformats.org/officeDocument/2006/relationships/hyperlink" /><Relationship TargetMode="External" Target="http://www.ibm.com/support/knowledgecenter/SSYQ72_10.1.1/com.ibm.help.ssm_releasenotes.doc/r_ResolvedIssues_10.1.1.7.html" Id="docRId7" Type="http://schemas.openxmlformats.org/officeDocument/2006/relationships/hyperlink" /><Relationship Target="embeddings/oleObject0.bin" Id="docRId0" Type="http://schemas.openxmlformats.org/officeDocument/2006/relationships/oleObject" /><Relationship Target="styles.xml" Id="docRId10" Type="http://schemas.openxmlformats.org/officeDocument/2006/relationships/styles" /><Relationship TargetMode="External" Target="http://www-01.ibm.com/software/howtobuy/passportadvantage/" Id="docRId2" Type="http://schemas.openxmlformats.org/officeDocument/2006/relationships/hyperlink" /><Relationship TargetMode="External" Target="http://www.ibm.com/support/fixcentral" Id="docRId4" Type="http://schemas.openxmlformats.org/officeDocument/2006/relationships/hyperlink" /><Relationship TargetMode="External" Target="http://www.ibm.com/support/knowledgecenter/SSYQ72_10.1.1/com.ibm.help.empinstall_planning.doc/R_SuiteCompatibilityMatrix10117.html" Id="docRId6" Type="http://schemas.openxmlformats.org/officeDocument/2006/relationships/hyperlink" /><Relationship TargetMode="External" Target="http://www.ibm.com/support/knowledgecenter/SSYQ72_10.1.1/com.ibm.help.ssm_releasenotes.doc/c_SSM_introduction.html" Id="docRId8" Type="http://schemas.openxmlformats.org/officeDocument/2006/relationships/hyperlink" /><Relationship Target="media/image0.wmf" Id="docRId1" Type="http://schemas.openxmlformats.org/officeDocument/2006/relationships/image" /><Relationship TargetMode="External" Target="http://www.ibm.com/support/knowledgecenter/SSYQ72_10.1.1/com.ibm.help.ssm_home.doc/ssm_product_welcome.html" Id="docRId5" Type="http://schemas.openxmlformats.org/officeDocument/2006/relationships/hyperlink" /><Relationship Target="numbering.xml" Id="docRId9" Type="http://schemas.openxmlformats.org/officeDocument/2006/relationships/numbering" /></Relationships>
</file>