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Pr="00C76173" w:rsidRDefault="005F3357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sz w:val="32"/>
                <w:szCs w:val="32"/>
              </w:rPr>
              <w:t>I</w:t>
            </w:r>
            <w:r w:rsidR="009838A3"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BM Emptoris SSM </w:t>
            </w:r>
            <w:r>
              <w:rPr>
                <w:rFonts w:ascii="Calibri" w:hAnsi="Calibri" w:cs="Calibri"/>
                <w:b/>
                <w:noProof/>
                <w:sz w:val="32"/>
                <w:szCs w:val="32"/>
              </w:rPr>
              <w:t>Analy</w:t>
            </w:r>
            <w:r w:rsidR="00AE655C">
              <w:rPr>
                <w:rFonts w:ascii="Calibri" w:hAnsi="Calibri" w:cs="Calibri"/>
                <w:b/>
                <w:noProof/>
                <w:sz w:val="32"/>
                <w:szCs w:val="32"/>
              </w:rPr>
              <w:t>tics Integration Module 10.0.2.5</w:t>
            </w:r>
            <w:r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 iFix1</w:t>
            </w:r>
            <w:r w:rsidR="006F4ECC"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 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F3357" w:rsidRPr="009838A3" w:rsidRDefault="005F3357" w:rsidP="005F3357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  <w:r w:rsidRPr="00CE1FD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IBM Emptoris </w:t>
            </w:r>
            <w:r w:rsidR="009838A3" w:rsidRPr="00E33642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Strategic Supply </w:t>
            </w:r>
            <w:r w:rsidR="009838A3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Management Analytics </w:t>
            </w:r>
            <w:r w:rsidR="009838A3" w:rsidRPr="00E33642">
              <w:rPr>
                <w:rFonts w:ascii="Calibri" w:hAnsi="Calibri" w:cs="Calibri"/>
                <w:color w:val="0000CC"/>
                <w:sz w:val="24"/>
                <w:szCs w:val="24"/>
              </w:rPr>
              <w:t>Integration Module</w:t>
            </w:r>
          </w:p>
          <w:p w:rsidR="006F4ECC" w:rsidRPr="009A5B8B" w:rsidRDefault="006F4ECC" w:rsidP="0017451F">
            <w:pPr>
              <w:rPr>
                <w:rFonts w:ascii="Helv" w:hAnsi="Helv" w:cs="Helv"/>
                <w:color w:val="0070C0"/>
                <w:sz w:val="22"/>
                <w:szCs w:val="22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AE655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10.0.2.5</w:t>
            </w:r>
            <w:r w:rsidR="002D0BCE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5F3357">
              <w:rPr>
                <w:rFonts w:ascii="Calibri" w:hAnsi="Calibri" w:cs="Calibri"/>
                <w:color w:val="000000"/>
                <w:sz w:val="24"/>
                <w:szCs w:val="24"/>
              </w:rPr>
              <w:t>iFix1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2D0BCE" w:rsidRDefault="002D0BCE" w:rsidP="0017451F">
            <w:pPr>
              <w:rPr>
                <w:rFonts w:ascii="Calibri" w:hAnsi="Calibri" w:cs="Calibri"/>
                <w:sz w:val="24"/>
                <w:szCs w:val="24"/>
              </w:rPr>
            </w:pPr>
            <w:r w:rsidRPr="002D0BCE">
              <w:rPr>
                <w:rFonts w:ascii="Calibri" w:hAnsi="Calibri" w:cs="Calibri"/>
                <w:sz w:val="24"/>
                <w:szCs w:val="24"/>
              </w:rPr>
              <w:t>KN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2F5DF4" w:rsidRDefault="002D0BCE" w:rsidP="001C5C3A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BI QA Team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8B2ED5" w:rsidRDefault="008B2ED5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8B2ED5" w:rsidRDefault="008B2ED5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8B2ED5" w:rsidRDefault="008B2ED5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7"/>
        <w:gridCol w:w="6063"/>
        <w:gridCol w:w="3060"/>
      </w:tblGrid>
      <w:tr w:rsidR="006F4ECC" w:rsidRPr="00633D6C" w:rsidTr="00771453">
        <w:trPr>
          <w:trHeight w:val="348"/>
        </w:trPr>
        <w:tc>
          <w:tcPr>
            <w:tcW w:w="2397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Build Version:</w:t>
            </w:r>
          </w:p>
        </w:tc>
        <w:tc>
          <w:tcPr>
            <w:tcW w:w="6063" w:type="dxa"/>
          </w:tcPr>
          <w:p w:rsidR="002D0BCE" w:rsidRPr="007500E9" w:rsidRDefault="00AE655C" w:rsidP="00A558DB">
            <w:pPr>
              <w:rPr>
                <w:rFonts w:ascii="Calibri" w:hAnsi="Calibri" w:cs="Calibri"/>
                <w:bCs/>
              </w:rPr>
            </w:pPr>
            <w:r>
              <w:rPr>
                <w:rFonts w:ascii="Helv" w:eastAsia="Calibri" w:hAnsi="Helv" w:cs="Helv"/>
                <w:color w:val="000000"/>
              </w:rPr>
              <w:t>CognosIntegration_10.0.2.5_51</w:t>
            </w:r>
            <w:r w:rsidR="007D0B52">
              <w:rPr>
                <w:rFonts w:ascii="Helv" w:eastAsia="Calibri" w:hAnsi="Helv" w:cs="Helv"/>
                <w:color w:val="000000"/>
              </w:rPr>
              <w:t>_iFix1.zip</w:t>
            </w:r>
          </w:p>
        </w:tc>
        <w:tc>
          <w:tcPr>
            <w:tcW w:w="3060" w:type="dxa"/>
          </w:tcPr>
          <w:p w:rsidR="006F4ECC" w:rsidRPr="002F5DF4" w:rsidRDefault="006F4ECC" w:rsidP="007D0B52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771453">
        <w:trPr>
          <w:trHeight w:val="92"/>
        </w:trPr>
        <w:tc>
          <w:tcPr>
            <w:tcW w:w="2397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6063" w:type="dxa"/>
          </w:tcPr>
          <w:p w:rsidR="008E748D" w:rsidRPr="008B2ED5" w:rsidRDefault="00DB000B" w:rsidP="008E748D"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</w:t>
            </w:r>
            <w:hyperlink r:id="rId8" w:history="1">
              <w:r w:rsidR="008E748D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8E748D" w:rsidRPr="00955C68" w:rsidRDefault="008E748D" w:rsidP="008E748D">
            <w:pPr>
              <w:rPr>
                <w:rFonts w:ascii="Calibri" w:hAnsi="Calibri" w:cs="Calibri"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1F497D" w:themeColor="text2"/>
                <w:sz w:val="24"/>
                <w:szCs w:val="24"/>
              </w:rPr>
              <w:t xml:space="preserve">  </w:t>
            </w:r>
            <w:r w:rsidRPr="00955C68">
              <w:rPr>
                <w:rFonts w:ascii="Calibri" w:hAnsi="Calibri" w:cs="Calibri"/>
                <w:i/>
                <w:color w:val="1F497D" w:themeColor="text2"/>
                <w:sz w:val="24"/>
                <w:szCs w:val="24"/>
              </w:rPr>
              <w:t>EMP_CM_10.0.2.0-30.zip</w:t>
            </w:r>
          </w:p>
          <w:p w:rsidR="008E748D" w:rsidRDefault="008E748D" w:rsidP="008E748D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 </w:t>
            </w:r>
          </w:p>
          <w:p w:rsidR="008E748D" w:rsidRPr="003F5D7B" w:rsidRDefault="008E748D" w:rsidP="008E748D">
            <w:pPr>
              <w:rPr>
                <w:rFonts w:ascii="Calibri" w:hAnsi="Calibri" w:cs="Calibri"/>
                <w:color w:val="0000CC"/>
                <w:sz w:val="22"/>
                <w:szCs w:val="22"/>
                <w:u w:val="single"/>
              </w:rPr>
            </w:pPr>
            <w:r w:rsidRPr="002655C1">
              <w:rPr>
                <w:rFonts w:ascii="Calibri" w:hAnsi="Calibri" w:cs="Calibri"/>
                <w:color w:val="0000CC"/>
                <w:sz w:val="22"/>
                <w:szCs w:val="22"/>
                <w:u w:val="single"/>
              </w:rPr>
              <w:t>Fix Central</w:t>
            </w:r>
          </w:p>
          <w:p w:rsidR="008B2ED5" w:rsidRPr="008E748D" w:rsidRDefault="008E748D" w:rsidP="0024518E">
            <w:pPr>
              <w:rPr>
                <w:rFonts w:ascii="Calibri" w:hAnsi="Calibri" w:cs="Calibri"/>
                <w:i/>
                <w:color w:val="1F497D" w:themeColor="text2"/>
                <w:sz w:val="24"/>
                <w:szCs w:val="24"/>
              </w:rPr>
            </w:pPr>
            <w:r w:rsidRPr="0001756A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i/>
                <w:color w:val="1F497D" w:themeColor="text2"/>
                <w:sz w:val="24"/>
                <w:szCs w:val="24"/>
              </w:rPr>
              <w:t>EMP_CM_10.0.2.5_105</w:t>
            </w:r>
            <w:r w:rsidRPr="00955C68">
              <w:rPr>
                <w:rFonts w:ascii="Calibri" w:hAnsi="Calibri" w:cs="Calibri"/>
                <w:i/>
                <w:color w:val="1F497D" w:themeColor="text2"/>
                <w:sz w:val="24"/>
                <w:szCs w:val="24"/>
              </w:rPr>
              <w:t>.zip</w:t>
            </w:r>
            <w:bookmarkStart w:id="0" w:name="_GoBack"/>
            <w:bookmarkEnd w:id="0"/>
          </w:p>
          <w:p w:rsidR="002D28EB" w:rsidRPr="00AE655C" w:rsidRDefault="002D28EB" w:rsidP="002D28EB">
            <w:pPr>
              <w:rPr>
                <w:color w:val="244061" w:themeColor="accent1" w:themeShade="80"/>
                <w:sz w:val="22"/>
                <w:szCs w:val="22"/>
              </w:rPr>
            </w:pPr>
            <w:r w:rsidRPr="00AE655C">
              <w:rPr>
                <w:rFonts w:ascii="Calibri" w:hAnsi="Calibri" w:cs="Calibri"/>
                <w:b/>
                <w:bCs/>
                <w:i/>
                <w:color w:val="1F497D" w:themeColor="text2"/>
                <w:sz w:val="22"/>
                <w:szCs w:val="22"/>
              </w:rPr>
              <w:t xml:space="preserve"> </w:t>
            </w:r>
            <w:r w:rsidRPr="00AE655C">
              <w:rPr>
                <w:rFonts w:ascii="Calibri" w:hAnsi="Calibri" w:cs="Calibri"/>
                <w:bCs/>
                <w:i/>
                <w:color w:val="244061" w:themeColor="accent1" w:themeShade="80"/>
                <w:sz w:val="22"/>
                <w:szCs w:val="22"/>
              </w:rPr>
              <w:t xml:space="preserve"> </w:t>
            </w:r>
            <w:r w:rsidR="00AE655C" w:rsidRPr="00AE655C">
              <w:rPr>
                <w:rFonts w:eastAsia="Times New Roman"/>
                <w:color w:val="000000"/>
                <w:sz w:val="22"/>
                <w:szCs w:val="22"/>
              </w:rPr>
              <w:t>EMP_SSM_AIM_10.0.2.5</w:t>
            </w:r>
            <w:r w:rsidR="007D0B52" w:rsidRPr="00AE655C">
              <w:rPr>
                <w:rFonts w:eastAsia="Times New Roman"/>
                <w:color w:val="000000"/>
                <w:sz w:val="22"/>
                <w:szCs w:val="22"/>
              </w:rPr>
              <w:t>_</w:t>
            </w:r>
            <w:r w:rsidR="007D0B52" w:rsidRPr="00AE655C">
              <w:rPr>
                <w:bCs/>
                <w:sz w:val="22"/>
                <w:szCs w:val="22"/>
              </w:rPr>
              <w:t>iFix1</w:t>
            </w:r>
            <w:r w:rsidR="009838A3" w:rsidRPr="00AE655C">
              <w:rPr>
                <w:rFonts w:eastAsia="Calibri"/>
                <w:color w:val="244061" w:themeColor="accent1" w:themeShade="80"/>
                <w:sz w:val="22"/>
                <w:szCs w:val="22"/>
              </w:rPr>
              <w:t>.zip</w:t>
            </w:r>
          </w:p>
          <w:p w:rsidR="00702600" w:rsidRPr="002F5DF4" w:rsidRDefault="00702600" w:rsidP="00771453">
            <w:pPr>
              <w:ind w:left="720"/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3060" w:type="dxa"/>
          </w:tcPr>
          <w:p w:rsidR="00702600" w:rsidRPr="002F5DF4" w:rsidRDefault="00702600" w:rsidP="00AE655C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:rsidTr="00771453">
        <w:trPr>
          <w:trHeight w:val="92"/>
        </w:trPr>
        <w:tc>
          <w:tcPr>
            <w:tcW w:w="2397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6063" w:type="dxa"/>
          </w:tcPr>
          <w:p w:rsidR="006F4ECC" w:rsidRPr="0001756A" w:rsidRDefault="0001756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01756A">
              <w:rPr>
                <w:rFonts w:ascii="Calibri" w:hAnsi="Calibri" w:cs="Calibri"/>
                <w:sz w:val="24"/>
                <w:szCs w:val="24"/>
              </w:rPr>
              <w:t>None</w:t>
            </w:r>
          </w:p>
        </w:tc>
        <w:tc>
          <w:tcPr>
            <w:tcW w:w="306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771453">
        <w:trPr>
          <w:trHeight w:val="92"/>
        </w:trPr>
        <w:tc>
          <w:tcPr>
            <w:tcW w:w="2397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6063" w:type="dxa"/>
          </w:tcPr>
          <w:p w:rsidR="006F4ECC" w:rsidRPr="0001756A" w:rsidRDefault="0001756A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01756A">
              <w:rPr>
                <w:rFonts w:ascii="Calibri" w:hAnsi="Calibri" w:cs="Calibri"/>
                <w:sz w:val="24"/>
                <w:szCs w:val="24"/>
              </w:rPr>
              <w:t>N/A</w:t>
            </w:r>
          </w:p>
        </w:tc>
        <w:tc>
          <w:tcPr>
            <w:tcW w:w="306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6F4ECC" w:rsidRPr="00633D6C" w:rsidTr="00B16F72">
        <w:trPr>
          <w:trHeight w:val="348"/>
        </w:trPr>
        <w:tc>
          <w:tcPr>
            <w:tcW w:w="720" w:type="dxa"/>
          </w:tcPr>
          <w:p w:rsidR="006F4ECC" w:rsidRPr="00B16F72" w:rsidRDefault="00B42218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#1</w:t>
            </w:r>
          </w:p>
        </w:tc>
        <w:tc>
          <w:tcPr>
            <w:tcW w:w="10800" w:type="dxa"/>
          </w:tcPr>
          <w:p w:rsidR="00B42218" w:rsidRDefault="00B42218" w:rsidP="00B42218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SRA-2732 - </w:t>
            </w:r>
            <w:r w:rsidR="008E748D" w:rsidRPr="008E748D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SSM Installer</w:t>
            </w: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UI changes</w:t>
            </w:r>
          </w:p>
          <w:p w:rsidR="006F4ECC" w:rsidRPr="00D46737" w:rsidRDefault="00B42218" w:rsidP="00B42218">
            <w:pPr>
              <w:rPr>
                <w:bCs/>
                <w:color w:val="0000CC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1) Required field for "Cognos Oracle Database Client Directory" is moved to Analytics Integration Module Server: Advanced panel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2) Required field for "Datastage Oracle Database Client Directory" is moved to DataStage Integration Server: Advanced panel</w:t>
            </w:r>
          </w:p>
        </w:tc>
      </w:tr>
      <w:tr w:rsidR="006F4ECC" w:rsidRPr="00633D6C" w:rsidTr="00B16F72">
        <w:trPr>
          <w:trHeight w:val="92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2D28EB" w:rsidRDefault="002D28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040"/>
        <w:gridCol w:w="3870"/>
      </w:tblGrid>
      <w:tr w:rsidR="006F4ECC" w:rsidRPr="00633D6C" w:rsidTr="00B16F72">
        <w:trPr>
          <w:trHeight w:val="348"/>
        </w:trPr>
        <w:tc>
          <w:tcPr>
            <w:tcW w:w="261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6F4ECC" w:rsidRPr="002F5DF4" w:rsidRDefault="00FA1D45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6F4ECC" w:rsidRPr="002F5DF4" w:rsidRDefault="00FA1D45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6F4ECC" w:rsidRPr="002F5DF4" w:rsidRDefault="00FA1D45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6F4ECC" w:rsidRPr="002F5DF4" w:rsidRDefault="00FA1D45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6F4ECC" w:rsidRPr="002F5DF4" w:rsidRDefault="00FA1D45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6F4ECC" w:rsidRPr="002F5DF4" w:rsidRDefault="00FA1D45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FA1D45" w:rsidRPr="008A513F" w:rsidRDefault="00506853" w:rsidP="00FA1D45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SSM Installer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: 10.0.2.4 build.206</w:t>
            </w:r>
          </w:p>
          <w:p w:rsidR="00FA1D45" w:rsidRPr="008A513F" w:rsidRDefault="00FA1D45" w:rsidP="00FA1D45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CWS: emptoris_web-2.0.0.0.2-25</w:t>
            </w:r>
          </w:p>
          <w:p w:rsidR="00FA1D45" w:rsidRPr="008A513F" w:rsidRDefault="00FA1D45" w:rsidP="00FA1D45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appliance-template-windows-39</w:t>
            </w:r>
          </w:p>
          <w:p w:rsidR="006F4ECC" w:rsidRPr="002F5DF4" w:rsidRDefault="00FA1D45" w:rsidP="00FA1D45">
            <w:pPr>
              <w:rPr>
                <w:i/>
                <w:color w:val="0000CC"/>
              </w:rPr>
            </w:pPr>
            <w:r w:rsidRPr="008A513F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appliance-template-linux-39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6F4ECC" w:rsidRPr="002F5DF4" w:rsidRDefault="00FA1D45">
            <w:pPr>
              <w:rPr>
                <w:i/>
                <w:color w:val="0000CC"/>
              </w:rPr>
            </w:pPr>
            <w: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10.0.2.</w:t>
            </w:r>
            <w:r w:rsidR="00AE655C"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  <w:t>5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2F5DF4" w:rsidRPr="00633D6C" w:rsidTr="00B16F72">
        <w:trPr>
          <w:trHeight w:val="92"/>
        </w:trPr>
        <w:tc>
          <w:tcPr>
            <w:tcW w:w="2610" w:type="dxa"/>
          </w:tcPr>
          <w:p w:rsidR="002F5DF4" w:rsidRDefault="002F5DF4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Extraction Tool</w:t>
            </w:r>
          </w:p>
        </w:tc>
        <w:tc>
          <w:tcPr>
            <w:tcW w:w="5040" w:type="dxa"/>
          </w:tcPr>
          <w:p w:rsidR="002F5DF4" w:rsidRPr="002F5DF4" w:rsidRDefault="002F5DF4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</w:p>
        </w:tc>
        <w:tc>
          <w:tcPr>
            <w:tcW w:w="3870" w:type="dxa"/>
          </w:tcPr>
          <w:p w:rsidR="002F5DF4" w:rsidRPr="00B16F72" w:rsidRDefault="002F5DF4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 xml:space="preserve">Issues Resolved in this </w:t>
      </w:r>
      <w:r w:rsidR="009A5B8B">
        <w:rPr>
          <w:rFonts w:ascii="Calibri" w:hAnsi="Calibri" w:cs="Calibri"/>
          <w:b/>
          <w:sz w:val="28"/>
          <w:szCs w:val="28"/>
        </w:rPr>
        <w:t>iFix</w:t>
      </w:r>
      <w:r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755EF8" w:rsidRPr="00633D6C" w:rsidTr="00B16F72">
        <w:trPr>
          <w:trHeight w:val="348"/>
        </w:trPr>
        <w:tc>
          <w:tcPr>
            <w:tcW w:w="2430" w:type="dxa"/>
          </w:tcPr>
          <w:p w:rsidR="00755EF8" w:rsidRPr="00B16F72" w:rsidRDefault="00755EF8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755EF8" w:rsidRDefault="00B42218" w:rsidP="00536EC2">
            <w:r>
              <w:t>SRA-2708</w:t>
            </w:r>
          </w:p>
        </w:tc>
        <w:tc>
          <w:tcPr>
            <w:tcW w:w="6120" w:type="dxa"/>
          </w:tcPr>
          <w:p w:rsidR="00755EF8" w:rsidRPr="00A13255" w:rsidRDefault="00B42218" w:rsidP="0050685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7F7F7"/>
              </w:rPr>
              <w:t xml:space="preserve">Fixes the issue related to </w:t>
            </w:r>
            <w:r w:rsidR="00506853">
              <w:rPr>
                <w:color w:val="000000"/>
                <w:sz w:val="24"/>
                <w:szCs w:val="24"/>
                <w:shd w:val="clear" w:color="auto" w:fill="F7F7F7"/>
              </w:rPr>
              <w:t xml:space="preserve">the </w:t>
            </w:r>
            <w:r>
              <w:rPr>
                <w:color w:val="000000"/>
                <w:sz w:val="24"/>
                <w:szCs w:val="24"/>
                <w:shd w:val="clear" w:color="auto" w:fill="F7F7F7"/>
              </w:rPr>
              <w:t xml:space="preserve">installer </w:t>
            </w:r>
            <w:r w:rsidRPr="000E622D">
              <w:rPr>
                <w:color w:val="000000"/>
                <w:sz w:val="24"/>
                <w:szCs w:val="24"/>
                <w:shd w:val="clear" w:color="auto" w:fill="F7F7F7"/>
              </w:rPr>
              <w:t>requi</w:t>
            </w:r>
            <w:r w:rsidR="00506853">
              <w:rPr>
                <w:color w:val="000000"/>
                <w:sz w:val="24"/>
                <w:szCs w:val="24"/>
                <w:shd w:val="clear" w:color="auto" w:fill="F7F7F7"/>
              </w:rPr>
              <w:t>ring the DataStage O</w:t>
            </w:r>
            <w:r>
              <w:rPr>
                <w:color w:val="000000"/>
                <w:sz w:val="24"/>
                <w:szCs w:val="24"/>
                <w:shd w:val="clear" w:color="auto" w:fill="F7F7F7"/>
              </w:rPr>
              <w:t xml:space="preserve">racle directory during </w:t>
            </w:r>
            <w:r w:rsidR="00506853">
              <w:rPr>
                <w:color w:val="000000"/>
                <w:sz w:val="24"/>
                <w:szCs w:val="24"/>
                <w:shd w:val="clear" w:color="auto" w:fill="F7F7F7"/>
              </w:rPr>
              <w:t xml:space="preserve">installation of </w:t>
            </w:r>
            <w:r w:rsidRPr="000E622D">
              <w:rPr>
                <w:color w:val="000000"/>
                <w:sz w:val="24"/>
                <w:szCs w:val="24"/>
                <w:shd w:val="clear" w:color="auto" w:fill="F7F7F7"/>
              </w:rPr>
              <w:t>the Standalone Cognos Integration package. We made the fix to remove the dependency on the extension package</w:t>
            </w:r>
            <w:r w:rsidR="00506853">
              <w:rPr>
                <w:color w:val="000000"/>
                <w:sz w:val="24"/>
                <w:szCs w:val="24"/>
                <w:shd w:val="clear" w:color="auto" w:fill="F7F7F7"/>
              </w:rPr>
              <w:t>.</w:t>
            </w:r>
          </w:p>
        </w:tc>
      </w:tr>
      <w:tr w:rsidR="008E748D" w:rsidRPr="00633D6C" w:rsidTr="00B16F72">
        <w:trPr>
          <w:trHeight w:val="348"/>
        </w:trPr>
        <w:tc>
          <w:tcPr>
            <w:tcW w:w="2430" w:type="dxa"/>
          </w:tcPr>
          <w:p w:rsidR="008E748D" w:rsidRPr="00B16F72" w:rsidRDefault="008E748D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8E748D" w:rsidRDefault="008E748D" w:rsidP="00536EC2">
            <w:r>
              <w:t>SRA-2732</w:t>
            </w:r>
          </w:p>
        </w:tc>
        <w:tc>
          <w:tcPr>
            <w:tcW w:w="6120" w:type="dxa"/>
          </w:tcPr>
          <w:p w:rsidR="008E748D" w:rsidRPr="00504C59" w:rsidRDefault="008E748D" w:rsidP="008E748D">
            <w:pPr>
              <w:rPr>
                <w:i/>
                <w:sz w:val="22"/>
                <w:szCs w:val="22"/>
              </w:rPr>
            </w:pPr>
            <w:r w:rsidRPr="00504C59">
              <w:rPr>
                <w:i/>
                <w:sz w:val="22"/>
                <w:szCs w:val="22"/>
              </w:rPr>
              <w:t>SSM Installer UI changes</w:t>
            </w:r>
          </w:p>
          <w:p w:rsidR="008E748D" w:rsidRDefault="008E748D" w:rsidP="008E748D">
            <w:pPr>
              <w:rPr>
                <w:color w:val="000000"/>
                <w:sz w:val="24"/>
                <w:szCs w:val="24"/>
                <w:shd w:val="clear" w:color="auto" w:fill="F7F7F7"/>
              </w:rPr>
            </w:pPr>
            <w:r w:rsidRPr="00504C59">
              <w:rPr>
                <w:color w:val="000000"/>
                <w:sz w:val="22"/>
                <w:szCs w:val="22"/>
                <w:shd w:val="clear" w:color="auto" w:fill="FFFFFF"/>
              </w:rPr>
              <w:t>1) Required field for "Cognos Oracle Database Client Directory" is moved to Analytics Integration Module Server: Advanced panel</w:t>
            </w:r>
            <w:r w:rsidRPr="00504C59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504C59">
              <w:rPr>
                <w:color w:val="000000"/>
                <w:sz w:val="22"/>
                <w:szCs w:val="22"/>
              </w:rPr>
              <w:br/>
            </w:r>
            <w:r w:rsidRPr="00504C59">
              <w:rPr>
                <w:color w:val="000000"/>
                <w:sz w:val="22"/>
                <w:szCs w:val="22"/>
                <w:shd w:val="clear" w:color="auto" w:fill="FFFFFF"/>
              </w:rPr>
              <w:t>2) Required field for "Datastage Oracle Database Client Directory" is moved to DataStage Integration Server: Advanced panel</w:t>
            </w:r>
          </w:p>
        </w:tc>
      </w:tr>
    </w:tbl>
    <w:p w:rsidR="000862F3" w:rsidRPr="00633D6C" w:rsidRDefault="000862F3" w:rsidP="0065412F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0862F3" w:rsidRPr="00633D6C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C07" w:rsidRDefault="002C1C07" w:rsidP="00A558DB">
      <w:r>
        <w:separator/>
      </w:r>
    </w:p>
  </w:endnote>
  <w:endnote w:type="continuationSeparator" w:id="1">
    <w:p w:rsidR="002C1C07" w:rsidRDefault="002C1C07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18" w:rsidRPr="009A5B8B" w:rsidRDefault="00B42218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051F51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051F51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506853">
      <w:rPr>
        <w:rFonts w:ascii="Calibri" w:hAnsi="Calibri" w:cs="Calibri"/>
        <w:noProof/>
        <w:color w:val="0000FF"/>
        <w:sz w:val="22"/>
        <w:szCs w:val="22"/>
      </w:rPr>
      <w:t>1</w:t>
    </w:r>
    <w:r w:rsidR="00051F51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C07" w:rsidRDefault="002C1C07" w:rsidP="00A558DB">
      <w:r>
        <w:separator/>
      </w:r>
    </w:p>
  </w:footnote>
  <w:footnote w:type="continuationSeparator" w:id="1">
    <w:p w:rsidR="002C1C07" w:rsidRDefault="002C1C07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B42218" w:rsidRPr="00A558DB" w:rsidTr="00A558DB">
      <w:trPr>
        <w:tblCellSpacing w:w="15" w:type="dxa"/>
      </w:trPr>
      <w:tc>
        <w:tcPr>
          <w:tcW w:w="0" w:type="auto"/>
        </w:tcPr>
        <w:p w:rsidR="00B42218" w:rsidRPr="00A558DB" w:rsidRDefault="00B42218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B42218" w:rsidRPr="00141540" w:rsidRDefault="00B42218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B42218" w:rsidRDefault="00B422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17451F"/>
    <w:rsid w:val="00011FE3"/>
    <w:rsid w:val="0001756A"/>
    <w:rsid w:val="00036571"/>
    <w:rsid w:val="00043FBD"/>
    <w:rsid w:val="00051AB2"/>
    <w:rsid w:val="00051F51"/>
    <w:rsid w:val="00060434"/>
    <w:rsid w:val="00065A89"/>
    <w:rsid w:val="000862F3"/>
    <w:rsid w:val="00090BC9"/>
    <w:rsid w:val="000D0191"/>
    <w:rsid w:val="00106EB9"/>
    <w:rsid w:val="00141540"/>
    <w:rsid w:val="0017451F"/>
    <w:rsid w:val="001A6610"/>
    <w:rsid w:val="001B33E7"/>
    <w:rsid w:val="001C5C3A"/>
    <w:rsid w:val="001E6C96"/>
    <w:rsid w:val="002046E8"/>
    <w:rsid w:val="002047C7"/>
    <w:rsid w:val="0024518E"/>
    <w:rsid w:val="002A3FD5"/>
    <w:rsid w:val="002C0A28"/>
    <w:rsid w:val="002C1124"/>
    <w:rsid w:val="002C1C07"/>
    <w:rsid w:val="002D0BCE"/>
    <w:rsid w:val="002D28EB"/>
    <w:rsid w:val="002F3E43"/>
    <w:rsid w:val="002F5DF4"/>
    <w:rsid w:val="00302309"/>
    <w:rsid w:val="00306B63"/>
    <w:rsid w:val="00315E8C"/>
    <w:rsid w:val="00317246"/>
    <w:rsid w:val="0034132F"/>
    <w:rsid w:val="0036611F"/>
    <w:rsid w:val="00391AE5"/>
    <w:rsid w:val="003A2035"/>
    <w:rsid w:val="003B748B"/>
    <w:rsid w:val="003D5507"/>
    <w:rsid w:val="003D5A93"/>
    <w:rsid w:val="003F5D7B"/>
    <w:rsid w:val="00402C7C"/>
    <w:rsid w:val="00405A79"/>
    <w:rsid w:val="00415452"/>
    <w:rsid w:val="004444DB"/>
    <w:rsid w:val="004548B0"/>
    <w:rsid w:val="0048259C"/>
    <w:rsid w:val="004B2EEE"/>
    <w:rsid w:val="004F7F9D"/>
    <w:rsid w:val="00500787"/>
    <w:rsid w:val="00506853"/>
    <w:rsid w:val="0051216C"/>
    <w:rsid w:val="00532422"/>
    <w:rsid w:val="00536EC2"/>
    <w:rsid w:val="00572E4E"/>
    <w:rsid w:val="0058660D"/>
    <w:rsid w:val="005B26EC"/>
    <w:rsid w:val="005D2EAF"/>
    <w:rsid w:val="005F3357"/>
    <w:rsid w:val="00630B0D"/>
    <w:rsid w:val="00633D6C"/>
    <w:rsid w:val="006373A5"/>
    <w:rsid w:val="0065412F"/>
    <w:rsid w:val="0067642B"/>
    <w:rsid w:val="0069652B"/>
    <w:rsid w:val="006B30B7"/>
    <w:rsid w:val="006C175F"/>
    <w:rsid w:val="006F4ECC"/>
    <w:rsid w:val="00702600"/>
    <w:rsid w:val="0071680A"/>
    <w:rsid w:val="00736BFC"/>
    <w:rsid w:val="00737340"/>
    <w:rsid w:val="007500E9"/>
    <w:rsid w:val="00755EF8"/>
    <w:rsid w:val="00771453"/>
    <w:rsid w:val="00772379"/>
    <w:rsid w:val="00787C96"/>
    <w:rsid w:val="007A1E33"/>
    <w:rsid w:val="007B45B5"/>
    <w:rsid w:val="007C086A"/>
    <w:rsid w:val="007C55C7"/>
    <w:rsid w:val="007D0B52"/>
    <w:rsid w:val="008011EA"/>
    <w:rsid w:val="008061A9"/>
    <w:rsid w:val="00814982"/>
    <w:rsid w:val="008273AC"/>
    <w:rsid w:val="00840D98"/>
    <w:rsid w:val="00866220"/>
    <w:rsid w:val="00874036"/>
    <w:rsid w:val="008A7E24"/>
    <w:rsid w:val="008B2ED5"/>
    <w:rsid w:val="008B38D5"/>
    <w:rsid w:val="008E748D"/>
    <w:rsid w:val="00914749"/>
    <w:rsid w:val="00955C68"/>
    <w:rsid w:val="009838A3"/>
    <w:rsid w:val="00986D33"/>
    <w:rsid w:val="009876EE"/>
    <w:rsid w:val="009A5B8B"/>
    <w:rsid w:val="009D7D9B"/>
    <w:rsid w:val="009E001F"/>
    <w:rsid w:val="009E7FFD"/>
    <w:rsid w:val="00A0022E"/>
    <w:rsid w:val="00A13255"/>
    <w:rsid w:val="00A558DB"/>
    <w:rsid w:val="00A83F3A"/>
    <w:rsid w:val="00AE655C"/>
    <w:rsid w:val="00B16F72"/>
    <w:rsid w:val="00B42218"/>
    <w:rsid w:val="00B42786"/>
    <w:rsid w:val="00B67E43"/>
    <w:rsid w:val="00B82FBF"/>
    <w:rsid w:val="00B96494"/>
    <w:rsid w:val="00BA1F88"/>
    <w:rsid w:val="00BD5701"/>
    <w:rsid w:val="00C065C7"/>
    <w:rsid w:val="00C76173"/>
    <w:rsid w:val="00C85F3A"/>
    <w:rsid w:val="00CD0452"/>
    <w:rsid w:val="00CF6F10"/>
    <w:rsid w:val="00D048F6"/>
    <w:rsid w:val="00D24046"/>
    <w:rsid w:val="00D46737"/>
    <w:rsid w:val="00D93F92"/>
    <w:rsid w:val="00DB000B"/>
    <w:rsid w:val="00DD2BA7"/>
    <w:rsid w:val="00DD6690"/>
    <w:rsid w:val="00E065C2"/>
    <w:rsid w:val="00E429C9"/>
    <w:rsid w:val="00E75B72"/>
    <w:rsid w:val="00EB7367"/>
    <w:rsid w:val="00EF55B3"/>
    <w:rsid w:val="00F11C92"/>
    <w:rsid w:val="00F2239A"/>
    <w:rsid w:val="00F77051"/>
    <w:rsid w:val="00F77DFE"/>
    <w:rsid w:val="00F8630B"/>
    <w:rsid w:val="00FA1D45"/>
    <w:rsid w:val="00FB5A71"/>
    <w:rsid w:val="00FB6E8B"/>
    <w:rsid w:val="00FC23FC"/>
    <w:rsid w:val="00FE2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B42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6B3C4-3917-4F57-98F4-6CD057C5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Bill</cp:lastModifiedBy>
  <cp:revision>2</cp:revision>
  <dcterms:created xsi:type="dcterms:W3CDTF">2014-12-15T16:05:00Z</dcterms:created>
  <dcterms:modified xsi:type="dcterms:W3CDTF">2014-12-15T16:05:00Z</dcterms:modified>
</cp:coreProperties>
</file>